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240B" w14:textId="77777777" w:rsidR="00C30330" w:rsidRDefault="00C30330" w:rsidP="00C30330">
      <w:pPr>
        <w:spacing w:after="0"/>
        <w:jc w:val="center"/>
      </w:pPr>
      <w:bookmarkStart w:id="0" w:name="_Hlk72753095"/>
      <w:bookmarkEnd w:id="0"/>
    </w:p>
    <w:p w14:paraId="23EE6B78" w14:textId="77777777" w:rsidR="00C30330" w:rsidRDefault="00C30330" w:rsidP="00C30330">
      <w:pPr>
        <w:spacing w:after="0"/>
        <w:jc w:val="center"/>
      </w:pPr>
    </w:p>
    <w:p w14:paraId="137FB8CB" w14:textId="77777777" w:rsidR="00C30330" w:rsidRDefault="00C30330" w:rsidP="00C30330">
      <w:pPr>
        <w:spacing w:after="0"/>
        <w:jc w:val="center"/>
      </w:pPr>
    </w:p>
    <w:p w14:paraId="415C842F" w14:textId="77777777" w:rsidR="00C30330" w:rsidRDefault="00C30330" w:rsidP="00C30330">
      <w:pPr>
        <w:spacing w:after="0"/>
        <w:jc w:val="center"/>
      </w:pPr>
    </w:p>
    <w:p w14:paraId="7E2E93A3" w14:textId="77777777" w:rsidR="00C30330" w:rsidRDefault="00C30330" w:rsidP="00C30330">
      <w:pPr>
        <w:spacing w:after="0"/>
        <w:jc w:val="center"/>
      </w:pPr>
    </w:p>
    <w:p w14:paraId="677DA332" w14:textId="1547CA74" w:rsidR="00710631" w:rsidRDefault="00C30330" w:rsidP="00C30330">
      <w:pPr>
        <w:spacing w:after="0"/>
        <w:jc w:val="center"/>
      </w:pPr>
      <w:r w:rsidRPr="00A44092">
        <w:rPr>
          <w:rFonts w:ascii="Century Gothic" w:hAnsi="Century Gothic"/>
          <w:b/>
          <w:noProof/>
          <w:color w:val="0000FF"/>
          <w:kern w:val="28"/>
          <w:sz w:val="56"/>
          <w:szCs w:val="56"/>
          <w:lang w:eastAsia="en-GB"/>
        </w:rPr>
        <w:drawing>
          <wp:inline distT="0" distB="0" distL="0" distR="0" wp14:anchorId="60B07064" wp14:editId="20B51548">
            <wp:extent cx="4505325" cy="1857375"/>
            <wp:effectExtent l="0" t="0" r="9525" b="9525"/>
            <wp:docPr id="1" name="Picture 1" descr="AVA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W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857375"/>
                    </a:xfrm>
                    <a:prstGeom prst="rect">
                      <a:avLst/>
                    </a:prstGeom>
                    <a:noFill/>
                    <a:ln>
                      <a:noFill/>
                    </a:ln>
                  </pic:spPr>
                </pic:pic>
              </a:graphicData>
            </a:graphic>
          </wp:inline>
        </w:drawing>
      </w:r>
    </w:p>
    <w:p w14:paraId="0C28570D" w14:textId="02A05535" w:rsidR="00C30330" w:rsidRDefault="00C30330" w:rsidP="00C30330">
      <w:pPr>
        <w:spacing w:after="0"/>
        <w:jc w:val="center"/>
      </w:pPr>
    </w:p>
    <w:p w14:paraId="5400AFD4" w14:textId="77777777" w:rsidR="00C30330" w:rsidRDefault="00C30330" w:rsidP="00C30330">
      <w:pPr>
        <w:spacing w:after="0"/>
        <w:jc w:val="center"/>
        <w:rPr>
          <w:rFonts w:ascii="Century Gothic" w:hAnsi="Century Gothic"/>
          <w:sz w:val="48"/>
          <w:szCs w:val="48"/>
        </w:rPr>
      </w:pPr>
    </w:p>
    <w:p w14:paraId="2048CA99" w14:textId="77777777" w:rsidR="00C30330" w:rsidRDefault="00C30330" w:rsidP="00C30330">
      <w:pPr>
        <w:spacing w:after="0"/>
        <w:jc w:val="center"/>
        <w:rPr>
          <w:rFonts w:ascii="Century Gothic" w:hAnsi="Century Gothic"/>
          <w:sz w:val="48"/>
          <w:szCs w:val="48"/>
        </w:rPr>
      </w:pPr>
    </w:p>
    <w:p w14:paraId="5BF190AB" w14:textId="549C4878" w:rsidR="00C30330" w:rsidRPr="00C30330" w:rsidRDefault="00C30330" w:rsidP="00C30330">
      <w:pPr>
        <w:spacing w:after="0"/>
        <w:jc w:val="center"/>
        <w:rPr>
          <w:rFonts w:ascii="Century Gothic" w:hAnsi="Century Gothic"/>
          <w:b/>
          <w:bCs/>
          <w:sz w:val="48"/>
          <w:szCs w:val="48"/>
        </w:rPr>
      </w:pPr>
      <w:r w:rsidRPr="00C30330">
        <w:rPr>
          <w:rFonts w:ascii="Century Gothic" w:hAnsi="Century Gothic"/>
          <w:b/>
          <w:bCs/>
          <w:sz w:val="48"/>
          <w:szCs w:val="48"/>
        </w:rPr>
        <w:t>Angus Violence Against Women Partnership</w:t>
      </w:r>
    </w:p>
    <w:p w14:paraId="7BC6FD8B" w14:textId="77777777" w:rsidR="00C30330" w:rsidRPr="00C30330" w:rsidRDefault="00C30330" w:rsidP="00C30330">
      <w:pPr>
        <w:spacing w:after="0"/>
        <w:jc w:val="center"/>
        <w:rPr>
          <w:rFonts w:ascii="Century Gothic" w:hAnsi="Century Gothic"/>
          <w:b/>
          <w:bCs/>
          <w:sz w:val="48"/>
          <w:szCs w:val="48"/>
        </w:rPr>
      </w:pPr>
    </w:p>
    <w:p w14:paraId="77269196" w14:textId="6E5D0D73" w:rsidR="00C30330" w:rsidRDefault="00C30330" w:rsidP="00C30330">
      <w:pPr>
        <w:spacing w:after="0"/>
        <w:jc w:val="center"/>
        <w:rPr>
          <w:rFonts w:ascii="Century Gothic" w:hAnsi="Century Gothic"/>
          <w:b/>
          <w:bCs/>
          <w:sz w:val="48"/>
          <w:szCs w:val="48"/>
        </w:rPr>
      </w:pPr>
      <w:r w:rsidRPr="00C30330">
        <w:rPr>
          <w:rFonts w:ascii="Century Gothic" w:hAnsi="Century Gothic"/>
          <w:b/>
          <w:bCs/>
          <w:sz w:val="48"/>
          <w:szCs w:val="48"/>
        </w:rPr>
        <w:t>Strategic Plan 2021-24</w:t>
      </w:r>
    </w:p>
    <w:p w14:paraId="546959D5" w14:textId="77777777" w:rsidR="00C30330" w:rsidRPr="00C30330" w:rsidRDefault="00C30330">
      <w:pPr>
        <w:spacing w:after="0" w:line="240" w:lineRule="auto"/>
        <w:rPr>
          <w:rFonts w:ascii="Century Gothic" w:hAnsi="Century Gothic"/>
          <w:b/>
          <w:bCs/>
          <w:sz w:val="24"/>
          <w:szCs w:val="24"/>
        </w:rPr>
      </w:pPr>
      <w:r>
        <w:rPr>
          <w:rFonts w:ascii="Century Gothic" w:hAnsi="Century Gothic"/>
          <w:b/>
          <w:bCs/>
          <w:sz w:val="48"/>
          <w:szCs w:val="48"/>
        </w:rPr>
        <w:br w:type="page"/>
      </w:r>
      <w:r w:rsidRPr="00C30330">
        <w:rPr>
          <w:rFonts w:ascii="Century Gothic" w:hAnsi="Century Gothic"/>
          <w:b/>
          <w:bCs/>
          <w:sz w:val="24"/>
          <w:szCs w:val="24"/>
        </w:rPr>
        <w:lastRenderedPageBreak/>
        <w:t>Introduction</w:t>
      </w:r>
    </w:p>
    <w:p w14:paraId="551CCF80" w14:textId="0C52792C" w:rsidR="00C30330" w:rsidRDefault="00C30330">
      <w:pPr>
        <w:spacing w:after="0" w:line="240" w:lineRule="auto"/>
        <w:rPr>
          <w:rFonts w:ascii="Century Gothic" w:hAnsi="Century Gothic"/>
          <w:sz w:val="24"/>
          <w:szCs w:val="24"/>
        </w:rPr>
      </w:pPr>
      <w:r>
        <w:rPr>
          <w:rFonts w:ascii="Century Gothic" w:hAnsi="Century Gothic"/>
          <w:sz w:val="24"/>
          <w:szCs w:val="24"/>
        </w:rPr>
        <w:t xml:space="preserve">Angus </w:t>
      </w:r>
      <w:r w:rsidRPr="00C30330">
        <w:rPr>
          <w:rFonts w:ascii="Century Gothic" w:hAnsi="Century Gothic"/>
          <w:sz w:val="24"/>
          <w:szCs w:val="24"/>
        </w:rPr>
        <w:t>Violence Against Women Partnership</w:t>
      </w:r>
      <w:r>
        <w:rPr>
          <w:rFonts w:ascii="Century Gothic" w:hAnsi="Century Gothic"/>
          <w:sz w:val="24"/>
          <w:szCs w:val="24"/>
        </w:rPr>
        <w:t xml:space="preserve"> (</w:t>
      </w:r>
      <w:proofErr w:type="gramStart"/>
      <w:r>
        <w:rPr>
          <w:rFonts w:ascii="Century Gothic" w:hAnsi="Century Gothic"/>
          <w:sz w:val="24"/>
          <w:szCs w:val="24"/>
        </w:rPr>
        <w:t xml:space="preserve">AVAWP) </w:t>
      </w:r>
      <w:r w:rsidRPr="00C30330">
        <w:rPr>
          <w:rFonts w:ascii="Century Gothic" w:hAnsi="Century Gothic"/>
          <w:sz w:val="24"/>
          <w:szCs w:val="24"/>
        </w:rPr>
        <w:t xml:space="preserve"> is</w:t>
      </w:r>
      <w:proofErr w:type="gramEnd"/>
      <w:r w:rsidRPr="00C30330">
        <w:rPr>
          <w:rFonts w:ascii="Century Gothic" w:hAnsi="Century Gothic"/>
          <w:sz w:val="24"/>
          <w:szCs w:val="24"/>
        </w:rPr>
        <w:t xml:space="preserve"> </w:t>
      </w:r>
      <w:r>
        <w:rPr>
          <w:rFonts w:ascii="Century Gothic" w:hAnsi="Century Gothic"/>
          <w:sz w:val="24"/>
          <w:szCs w:val="24"/>
        </w:rPr>
        <w:t xml:space="preserve">the </w:t>
      </w:r>
      <w:proofErr w:type="spellStart"/>
      <w:r>
        <w:rPr>
          <w:rFonts w:ascii="Century Gothic" w:hAnsi="Century Gothic"/>
          <w:sz w:val="24"/>
          <w:szCs w:val="24"/>
        </w:rPr>
        <w:t>multi agency</w:t>
      </w:r>
      <w:proofErr w:type="spellEnd"/>
      <w:r>
        <w:rPr>
          <w:rFonts w:ascii="Century Gothic" w:hAnsi="Century Gothic"/>
          <w:sz w:val="24"/>
          <w:szCs w:val="24"/>
        </w:rPr>
        <w:t xml:space="preserve"> </w:t>
      </w:r>
      <w:r w:rsidRPr="00C30330">
        <w:rPr>
          <w:rFonts w:ascii="Century Gothic" w:hAnsi="Century Gothic"/>
          <w:sz w:val="24"/>
          <w:szCs w:val="24"/>
        </w:rPr>
        <w:t xml:space="preserve">forum </w:t>
      </w:r>
      <w:r>
        <w:rPr>
          <w:rFonts w:ascii="Century Gothic" w:hAnsi="Century Gothic"/>
          <w:sz w:val="24"/>
          <w:szCs w:val="24"/>
        </w:rPr>
        <w:t xml:space="preserve">to deliver on Equally Safe: Scotland’s strategy for preventing and eradicating violence </w:t>
      </w:r>
      <w:r w:rsidRPr="00C30330">
        <w:rPr>
          <w:rFonts w:ascii="Century Gothic" w:hAnsi="Century Gothic"/>
          <w:sz w:val="24"/>
          <w:szCs w:val="24"/>
        </w:rPr>
        <w:t xml:space="preserve">against women </w:t>
      </w:r>
      <w:r>
        <w:rPr>
          <w:rFonts w:ascii="Century Gothic" w:hAnsi="Century Gothic"/>
          <w:sz w:val="24"/>
          <w:szCs w:val="24"/>
        </w:rPr>
        <w:t>and girls at a local strategic level.  No single partner alone has the resource, skill or reach to achieve the aims of Equally Safe and it is only through strong partnership working that this can be achieved.</w:t>
      </w:r>
    </w:p>
    <w:p w14:paraId="1056B6E6" w14:textId="77777777" w:rsidR="00C30330" w:rsidRDefault="00C30330">
      <w:pPr>
        <w:spacing w:after="0" w:line="240" w:lineRule="auto"/>
        <w:rPr>
          <w:rFonts w:ascii="Century Gothic" w:hAnsi="Century Gothic"/>
          <w:sz w:val="24"/>
          <w:szCs w:val="24"/>
        </w:rPr>
      </w:pPr>
    </w:p>
    <w:p w14:paraId="50B9BAA1" w14:textId="4D901EE5" w:rsidR="00C30330" w:rsidRDefault="00C30330" w:rsidP="00326715">
      <w:pPr>
        <w:spacing w:after="0" w:line="240" w:lineRule="auto"/>
        <w:rPr>
          <w:rFonts w:ascii="Century Gothic" w:hAnsi="Century Gothic"/>
          <w:sz w:val="24"/>
          <w:szCs w:val="24"/>
        </w:rPr>
      </w:pPr>
      <w:r>
        <w:rPr>
          <w:rFonts w:ascii="Century Gothic" w:hAnsi="Century Gothic"/>
          <w:sz w:val="24"/>
          <w:szCs w:val="24"/>
        </w:rPr>
        <w:t xml:space="preserve"> </w:t>
      </w:r>
      <w:r w:rsidR="00326715">
        <w:rPr>
          <w:rFonts w:ascii="Century Gothic" w:hAnsi="Century Gothic"/>
          <w:sz w:val="24"/>
          <w:szCs w:val="24"/>
        </w:rPr>
        <w:t>The national Violence Against Women Partnership Guidance is designed to promote an effective and strategic approach to reducing violence against women and its negative impact on individuals and communities and support local partnerships to develop effective local strategies and activities in keeping with Equally Safe to tackle violence against women and girls in all its forms.  The guidance notes 6 minimum standards that Local VAWPs are expected to work towards and identifies the core activities that all VAW partners will be expected to undertake.  These are:</w:t>
      </w:r>
    </w:p>
    <w:p w14:paraId="2CFE063E" w14:textId="77777777" w:rsidR="00326715" w:rsidRDefault="00326715" w:rsidP="00326715">
      <w:pPr>
        <w:spacing w:after="0" w:line="240" w:lineRule="auto"/>
        <w:rPr>
          <w:rFonts w:ascii="Century Gothic" w:hAnsi="Century Gothic"/>
          <w:sz w:val="24"/>
          <w:szCs w:val="24"/>
        </w:rPr>
      </w:pPr>
    </w:p>
    <w:p w14:paraId="0677E3A9" w14:textId="64584319" w:rsidR="00326715" w:rsidRPr="00326715" w:rsidRDefault="00326715" w:rsidP="00326715">
      <w:pPr>
        <w:pStyle w:val="Default"/>
        <w:rPr>
          <w:rFonts w:ascii="Century Gothic" w:hAnsi="Century Gothic"/>
          <w:b/>
          <w:bCs/>
        </w:rPr>
      </w:pPr>
      <w:r w:rsidRPr="00326715">
        <w:rPr>
          <w:rFonts w:ascii="Century Gothic" w:hAnsi="Century Gothic"/>
          <w:b/>
          <w:bCs/>
        </w:rPr>
        <w:t>Minimum Standards</w:t>
      </w:r>
    </w:p>
    <w:p w14:paraId="4065758E" w14:textId="463194A6" w:rsidR="00326715" w:rsidRP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Every local authority area in Scotland should have a VAW Partnership in place that is responsible for working to prevent and eradicate all forms of violence against women and girls within that local area. </w:t>
      </w:r>
    </w:p>
    <w:p w14:paraId="71DE4229" w14:textId="77777777" w:rsidR="00326715" w:rsidRP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VAW Partnerships should bring together the key public sector and third sector organisations working to prevent and eradicate violence against women and girls within the local area </w:t>
      </w:r>
    </w:p>
    <w:p w14:paraId="247BB319" w14:textId="77777777" w:rsidR="00326715" w:rsidRP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Every VAW Partnership should have Terms of Reference for their group. </w:t>
      </w:r>
    </w:p>
    <w:p w14:paraId="2B2ECC33" w14:textId="77777777" w:rsidR="00326715" w:rsidRP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Every VAW Partnership should have a Strategic Plan in place that outlines how the Partnership will implement Equally Safe at a local level. </w:t>
      </w:r>
    </w:p>
    <w:p w14:paraId="19114441" w14:textId="77777777" w:rsidR="00326715" w:rsidRP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Every VAW Partnership should have a framework in place for measuring its performance and progress towards achieving its agreed outcomes. </w:t>
      </w:r>
    </w:p>
    <w:p w14:paraId="0816D454" w14:textId="5292126A" w:rsidR="00326715" w:rsidRDefault="00326715" w:rsidP="0084060A">
      <w:pPr>
        <w:pStyle w:val="Default"/>
        <w:numPr>
          <w:ilvl w:val="0"/>
          <w:numId w:val="7"/>
        </w:numPr>
        <w:spacing w:after="120"/>
        <w:rPr>
          <w:rFonts w:ascii="Century Gothic" w:hAnsi="Century Gothic"/>
        </w:rPr>
      </w:pPr>
      <w:r w:rsidRPr="00326715">
        <w:rPr>
          <w:rFonts w:ascii="Century Gothic" w:hAnsi="Century Gothic"/>
        </w:rPr>
        <w:t xml:space="preserve">Every VAW Partnership should have a designated person who is responsible for coordinating its core activities. </w:t>
      </w:r>
    </w:p>
    <w:p w14:paraId="48D93F61" w14:textId="18F646E1" w:rsidR="00326715" w:rsidRDefault="00326715" w:rsidP="00326715">
      <w:pPr>
        <w:pStyle w:val="Default"/>
        <w:rPr>
          <w:rFonts w:ascii="Century Gothic" w:hAnsi="Century Gothic"/>
        </w:rPr>
      </w:pPr>
    </w:p>
    <w:p w14:paraId="3B09EB7F" w14:textId="069C451A" w:rsidR="0084060A" w:rsidRDefault="0084060A" w:rsidP="00326715">
      <w:pPr>
        <w:pStyle w:val="Default"/>
        <w:rPr>
          <w:rFonts w:ascii="Century Gothic" w:hAnsi="Century Gothic"/>
        </w:rPr>
      </w:pPr>
    </w:p>
    <w:p w14:paraId="3413A161" w14:textId="7022E326" w:rsidR="0084060A" w:rsidRDefault="0084060A" w:rsidP="00326715">
      <w:pPr>
        <w:pStyle w:val="Default"/>
        <w:rPr>
          <w:rFonts w:ascii="Century Gothic" w:hAnsi="Century Gothic"/>
        </w:rPr>
      </w:pPr>
    </w:p>
    <w:p w14:paraId="05710BA4" w14:textId="5CD8362B" w:rsidR="0084060A" w:rsidRDefault="0084060A" w:rsidP="00326715">
      <w:pPr>
        <w:pStyle w:val="Default"/>
        <w:rPr>
          <w:rFonts w:ascii="Century Gothic" w:hAnsi="Century Gothic"/>
        </w:rPr>
      </w:pPr>
    </w:p>
    <w:p w14:paraId="6DA2F42C" w14:textId="77777777" w:rsidR="0084060A" w:rsidRDefault="0084060A" w:rsidP="00326715">
      <w:pPr>
        <w:pStyle w:val="Default"/>
        <w:rPr>
          <w:rFonts w:ascii="Century Gothic" w:hAnsi="Century Gothic"/>
        </w:rPr>
      </w:pPr>
    </w:p>
    <w:p w14:paraId="1B2F05EC" w14:textId="7BF3728E" w:rsidR="00326715" w:rsidRDefault="00326715" w:rsidP="00326715">
      <w:pPr>
        <w:pStyle w:val="Default"/>
        <w:rPr>
          <w:rFonts w:ascii="Century Gothic" w:hAnsi="Century Gothic"/>
          <w:b/>
          <w:bCs/>
        </w:rPr>
      </w:pPr>
      <w:r w:rsidRPr="00326715">
        <w:rPr>
          <w:rFonts w:ascii="Century Gothic" w:hAnsi="Century Gothic"/>
          <w:b/>
          <w:bCs/>
        </w:rPr>
        <w:lastRenderedPageBreak/>
        <w:t>Core activities</w:t>
      </w:r>
    </w:p>
    <w:p w14:paraId="38D0B58A" w14:textId="77777777" w:rsidR="00326715"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Conduct Needs Assessments </w:t>
      </w:r>
    </w:p>
    <w:p w14:paraId="17D6B5AF" w14:textId="00AED0F3" w:rsidR="00326715"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Strategic Reviews and Annual Planning </w:t>
      </w:r>
    </w:p>
    <w:p w14:paraId="2C7A4A2A" w14:textId="43D37918" w:rsidR="00326715"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Performance Reporting </w:t>
      </w:r>
    </w:p>
    <w:p w14:paraId="50473652" w14:textId="7FC7CE89" w:rsidR="00326715"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Quality Assurance </w:t>
      </w:r>
    </w:p>
    <w:p w14:paraId="4BD26122" w14:textId="2C165F87" w:rsidR="00326715" w:rsidRPr="00D147C5"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Disseminating learning and training </w:t>
      </w:r>
    </w:p>
    <w:p w14:paraId="60E53449" w14:textId="77777777" w:rsidR="00326715"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Promoting a Preventative Approach </w:t>
      </w:r>
    </w:p>
    <w:p w14:paraId="461A30E9" w14:textId="75F20CB5" w:rsidR="003A0E96" w:rsidRPr="003A0E96" w:rsidRDefault="00326715" w:rsidP="00D147C5">
      <w:pPr>
        <w:pStyle w:val="Default"/>
        <w:numPr>
          <w:ilvl w:val="0"/>
          <w:numId w:val="8"/>
        </w:numPr>
        <w:spacing w:before="120"/>
        <w:rPr>
          <w:rFonts w:ascii="Century Gothic" w:hAnsi="Century Gothic"/>
        </w:rPr>
      </w:pPr>
      <w:r w:rsidRPr="003A0E96">
        <w:rPr>
          <w:rFonts w:ascii="Century Gothic" w:hAnsi="Century Gothic"/>
        </w:rPr>
        <w:t xml:space="preserve">Identifying Resources </w:t>
      </w:r>
    </w:p>
    <w:p w14:paraId="75D33F1F" w14:textId="77777777" w:rsidR="003A0E96" w:rsidRPr="003A0E96" w:rsidRDefault="003A0E96" w:rsidP="00D147C5">
      <w:pPr>
        <w:pStyle w:val="Default"/>
        <w:numPr>
          <w:ilvl w:val="0"/>
          <w:numId w:val="8"/>
        </w:numPr>
        <w:spacing w:before="120"/>
        <w:rPr>
          <w:rFonts w:ascii="Century Gothic" w:hAnsi="Century Gothic"/>
        </w:rPr>
      </w:pPr>
      <w:r w:rsidRPr="003A0E96">
        <w:rPr>
          <w:rFonts w:ascii="Century Gothic" w:hAnsi="Century Gothic"/>
        </w:rPr>
        <w:t xml:space="preserve">Informing work being undertaken nationally </w:t>
      </w:r>
    </w:p>
    <w:p w14:paraId="4D92BDA3" w14:textId="77777777" w:rsidR="00326715" w:rsidRPr="00326715" w:rsidRDefault="00326715" w:rsidP="003A0E96">
      <w:pPr>
        <w:pStyle w:val="Default"/>
        <w:ind w:left="360"/>
      </w:pPr>
    </w:p>
    <w:p w14:paraId="6C1512D9" w14:textId="52FF5643" w:rsidR="00326715" w:rsidRDefault="00326715" w:rsidP="00326715">
      <w:pPr>
        <w:spacing w:after="0" w:line="240" w:lineRule="auto"/>
        <w:rPr>
          <w:rFonts w:ascii="Century Gothic" w:hAnsi="Century Gothic"/>
          <w:sz w:val="24"/>
          <w:szCs w:val="24"/>
        </w:rPr>
      </w:pPr>
    </w:p>
    <w:p w14:paraId="07AE45D3" w14:textId="77777777" w:rsidR="00CC4AC9" w:rsidRDefault="00CC4AC9" w:rsidP="00326715">
      <w:pPr>
        <w:spacing w:after="0" w:line="240" w:lineRule="auto"/>
        <w:rPr>
          <w:rFonts w:ascii="Century Gothic" w:hAnsi="Century Gothic"/>
          <w:sz w:val="24"/>
          <w:szCs w:val="24"/>
        </w:rPr>
      </w:pPr>
    </w:p>
    <w:p w14:paraId="4886D8E9" w14:textId="51DB7FB1" w:rsidR="00CC4AC9" w:rsidRDefault="00CC4AC9" w:rsidP="00326715">
      <w:pPr>
        <w:spacing w:after="0" w:line="240" w:lineRule="auto"/>
        <w:rPr>
          <w:rFonts w:ascii="Century Gothic" w:hAnsi="Century Gothic"/>
          <w:sz w:val="24"/>
          <w:szCs w:val="24"/>
        </w:rPr>
      </w:pPr>
    </w:p>
    <w:p w14:paraId="6F2F340E" w14:textId="77777777" w:rsidR="00CC4AC9" w:rsidRDefault="00CC4AC9" w:rsidP="00CC4AC9">
      <w:pPr>
        <w:spacing w:after="0" w:line="240" w:lineRule="auto"/>
        <w:rPr>
          <w:rFonts w:ascii="Century Gothic" w:hAnsi="Century Gothic"/>
          <w:sz w:val="24"/>
          <w:szCs w:val="24"/>
        </w:rPr>
      </w:pPr>
      <w:r>
        <w:rPr>
          <w:rFonts w:ascii="Century Gothic" w:hAnsi="Century Gothic"/>
          <w:sz w:val="24"/>
          <w:szCs w:val="24"/>
        </w:rPr>
        <w:t>This Strategic Plan will:</w:t>
      </w:r>
    </w:p>
    <w:p w14:paraId="00ECFBF2" w14:textId="77777777" w:rsidR="00CC4AC9" w:rsidRPr="00AD452C" w:rsidRDefault="00CC4AC9" w:rsidP="00CC4AC9">
      <w:pPr>
        <w:pStyle w:val="ListParagraph"/>
        <w:numPr>
          <w:ilvl w:val="0"/>
          <w:numId w:val="9"/>
        </w:numPr>
        <w:spacing w:before="120" w:after="0" w:line="240" w:lineRule="auto"/>
        <w:rPr>
          <w:rFonts w:ascii="Century Gothic" w:hAnsi="Century Gothic"/>
          <w:sz w:val="24"/>
          <w:szCs w:val="24"/>
        </w:rPr>
      </w:pPr>
      <w:r w:rsidRPr="00AD452C">
        <w:rPr>
          <w:rFonts w:ascii="Century Gothic" w:hAnsi="Century Gothic"/>
          <w:sz w:val="24"/>
          <w:szCs w:val="24"/>
        </w:rPr>
        <w:t>Identify the outcomes AVAWP is working to</w:t>
      </w:r>
    </w:p>
    <w:p w14:paraId="1E8A13F6" w14:textId="77777777" w:rsidR="00CC4AC9" w:rsidRDefault="00CC4AC9" w:rsidP="00CC4AC9">
      <w:pPr>
        <w:pStyle w:val="ListParagraph"/>
        <w:numPr>
          <w:ilvl w:val="0"/>
          <w:numId w:val="9"/>
        </w:numPr>
        <w:spacing w:before="120" w:after="0" w:line="240" w:lineRule="auto"/>
        <w:rPr>
          <w:rFonts w:ascii="Century Gothic" w:hAnsi="Century Gothic"/>
          <w:sz w:val="24"/>
          <w:szCs w:val="24"/>
        </w:rPr>
      </w:pPr>
      <w:r w:rsidRPr="00AD452C">
        <w:rPr>
          <w:rFonts w:ascii="Century Gothic" w:hAnsi="Century Gothic"/>
          <w:sz w:val="24"/>
          <w:szCs w:val="24"/>
        </w:rPr>
        <w:t xml:space="preserve">Identify the areas AVAWP will prioritise </w:t>
      </w:r>
      <w:proofErr w:type="gramStart"/>
      <w:r w:rsidRPr="00AD452C">
        <w:rPr>
          <w:rFonts w:ascii="Century Gothic" w:hAnsi="Century Gothic"/>
          <w:sz w:val="24"/>
          <w:szCs w:val="24"/>
        </w:rPr>
        <w:t>in order to</w:t>
      </w:r>
      <w:proofErr w:type="gramEnd"/>
      <w:r w:rsidRPr="00AD452C">
        <w:rPr>
          <w:rFonts w:ascii="Century Gothic" w:hAnsi="Century Gothic"/>
          <w:sz w:val="24"/>
          <w:szCs w:val="24"/>
        </w:rPr>
        <w:t xml:space="preserve"> achieve the agreed outcomes</w:t>
      </w:r>
    </w:p>
    <w:p w14:paraId="322C7BD1" w14:textId="77777777" w:rsidR="00CC4AC9" w:rsidRPr="002F1E21" w:rsidRDefault="00CC4AC9" w:rsidP="00CC4AC9">
      <w:pPr>
        <w:pStyle w:val="ListParagraph"/>
        <w:numPr>
          <w:ilvl w:val="0"/>
          <w:numId w:val="9"/>
        </w:numPr>
        <w:spacing w:before="120" w:after="0" w:line="240" w:lineRule="auto"/>
        <w:rPr>
          <w:rFonts w:ascii="Century Gothic" w:hAnsi="Century Gothic"/>
          <w:sz w:val="24"/>
          <w:szCs w:val="24"/>
        </w:rPr>
      </w:pPr>
      <w:r w:rsidRPr="002F1E21">
        <w:rPr>
          <w:rFonts w:ascii="Century Gothic" w:hAnsi="Century Gothic"/>
          <w:sz w:val="24"/>
          <w:szCs w:val="24"/>
        </w:rPr>
        <w:t>Link to the AVAWP Performance Framework</w:t>
      </w:r>
    </w:p>
    <w:p w14:paraId="6CBE9CD6" w14:textId="6793C164" w:rsidR="00CC4AC9" w:rsidRPr="002F1E21" w:rsidRDefault="00CC4AC9" w:rsidP="00326715">
      <w:pPr>
        <w:spacing w:after="0" w:line="240" w:lineRule="auto"/>
        <w:rPr>
          <w:rFonts w:ascii="Century Gothic" w:hAnsi="Century Gothic"/>
          <w:sz w:val="24"/>
          <w:szCs w:val="24"/>
        </w:rPr>
      </w:pPr>
    </w:p>
    <w:p w14:paraId="2A6EF8B7" w14:textId="77777777" w:rsidR="00CC4AC9" w:rsidRPr="002F1E21" w:rsidRDefault="00CC4AC9" w:rsidP="00326715">
      <w:pPr>
        <w:spacing w:after="0" w:line="240" w:lineRule="auto"/>
        <w:rPr>
          <w:rFonts w:ascii="Century Gothic" w:hAnsi="Century Gothic"/>
          <w:sz w:val="24"/>
          <w:szCs w:val="24"/>
        </w:rPr>
      </w:pPr>
    </w:p>
    <w:p w14:paraId="39735806" w14:textId="77777777" w:rsidR="00CC4AC9" w:rsidRPr="002F1E21" w:rsidRDefault="00CC4AC9" w:rsidP="00326715">
      <w:pPr>
        <w:spacing w:after="0" w:line="240" w:lineRule="auto"/>
        <w:rPr>
          <w:rFonts w:ascii="Century Gothic" w:hAnsi="Century Gothic"/>
          <w:sz w:val="24"/>
          <w:szCs w:val="24"/>
        </w:rPr>
      </w:pPr>
    </w:p>
    <w:p w14:paraId="4976483B" w14:textId="6E08FB9F" w:rsidR="00CC4AC9" w:rsidRPr="002F1E21" w:rsidRDefault="00AD452C" w:rsidP="00326715">
      <w:pPr>
        <w:spacing w:after="0" w:line="240" w:lineRule="auto"/>
        <w:rPr>
          <w:rFonts w:ascii="Century Gothic" w:hAnsi="Century Gothic"/>
          <w:sz w:val="24"/>
          <w:szCs w:val="24"/>
        </w:rPr>
      </w:pPr>
      <w:r w:rsidRPr="002F1E21">
        <w:rPr>
          <w:rFonts w:ascii="Century Gothic" w:hAnsi="Century Gothic"/>
          <w:sz w:val="24"/>
          <w:szCs w:val="24"/>
        </w:rPr>
        <w:t>This Strategic plan will</w:t>
      </w:r>
      <w:r w:rsidR="0084060A" w:rsidRPr="002F1E21">
        <w:rPr>
          <w:rFonts w:ascii="Century Gothic" w:hAnsi="Century Gothic"/>
          <w:sz w:val="24"/>
          <w:szCs w:val="24"/>
        </w:rPr>
        <w:t xml:space="preserve"> deliver on the Equally Safe priority areas for Angus</w:t>
      </w:r>
      <w:r w:rsidR="00CC4AC9" w:rsidRPr="002F1E21">
        <w:rPr>
          <w:rFonts w:ascii="Century Gothic" w:hAnsi="Century Gothic"/>
          <w:sz w:val="24"/>
          <w:szCs w:val="24"/>
        </w:rPr>
        <w:t xml:space="preserve"> noted below</w:t>
      </w:r>
      <w:r w:rsidR="0084060A" w:rsidRPr="002F1E21">
        <w:rPr>
          <w:rFonts w:ascii="Century Gothic" w:hAnsi="Century Gothic"/>
          <w:sz w:val="24"/>
          <w:szCs w:val="24"/>
        </w:rPr>
        <w:t xml:space="preserve"> and is based on the identified priorities for AVAWP of</w:t>
      </w:r>
      <w:r w:rsidR="00CC4AC9" w:rsidRPr="002F1E21">
        <w:rPr>
          <w:rFonts w:ascii="Century Gothic" w:hAnsi="Century Gothic"/>
          <w:sz w:val="24"/>
          <w:szCs w:val="24"/>
        </w:rPr>
        <w:t>:</w:t>
      </w:r>
    </w:p>
    <w:p w14:paraId="69A9EA9C" w14:textId="77777777" w:rsidR="00CC4AC9" w:rsidRPr="002F1E21" w:rsidRDefault="00CC4AC9" w:rsidP="00326715">
      <w:pPr>
        <w:spacing w:after="0" w:line="240" w:lineRule="auto"/>
        <w:rPr>
          <w:rFonts w:ascii="Century Gothic" w:hAnsi="Century Gothic"/>
          <w:sz w:val="24"/>
          <w:szCs w:val="24"/>
        </w:rPr>
      </w:pPr>
    </w:p>
    <w:p w14:paraId="395A1082" w14:textId="5DADE963" w:rsidR="00CC4AC9" w:rsidRPr="002F1E21" w:rsidRDefault="0084060A" w:rsidP="00CC4AC9">
      <w:pPr>
        <w:pStyle w:val="ListParagraph"/>
        <w:numPr>
          <w:ilvl w:val="0"/>
          <w:numId w:val="15"/>
        </w:numPr>
        <w:spacing w:after="0" w:line="240" w:lineRule="auto"/>
        <w:rPr>
          <w:rFonts w:ascii="Century Gothic" w:hAnsi="Century Gothic"/>
          <w:sz w:val="24"/>
          <w:szCs w:val="24"/>
        </w:rPr>
      </w:pPr>
      <w:r w:rsidRPr="002F1E21">
        <w:rPr>
          <w:rFonts w:ascii="Century Gothic" w:hAnsi="Century Gothic"/>
          <w:sz w:val="24"/>
          <w:szCs w:val="24"/>
        </w:rPr>
        <w:t>Prevention</w:t>
      </w:r>
    </w:p>
    <w:p w14:paraId="6726EE34" w14:textId="77777777" w:rsidR="00CC4AC9" w:rsidRPr="002F1E21" w:rsidRDefault="0084060A" w:rsidP="00CC4AC9">
      <w:pPr>
        <w:pStyle w:val="ListParagraph"/>
        <w:numPr>
          <w:ilvl w:val="0"/>
          <w:numId w:val="15"/>
        </w:numPr>
        <w:spacing w:after="0" w:line="240" w:lineRule="auto"/>
        <w:rPr>
          <w:rFonts w:ascii="Century Gothic" w:hAnsi="Century Gothic"/>
          <w:sz w:val="24"/>
          <w:szCs w:val="24"/>
        </w:rPr>
      </w:pPr>
      <w:r w:rsidRPr="002F1E21">
        <w:rPr>
          <w:rFonts w:ascii="Century Gothic" w:hAnsi="Century Gothic"/>
          <w:sz w:val="24"/>
          <w:szCs w:val="24"/>
        </w:rPr>
        <w:t xml:space="preserve">Data and Self </w:t>
      </w:r>
      <w:r w:rsidR="00CC4AC9" w:rsidRPr="002F1E21">
        <w:rPr>
          <w:rFonts w:ascii="Century Gothic" w:hAnsi="Century Gothic"/>
          <w:sz w:val="24"/>
          <w:szCs w:val="24"/>
        </w:rPr>
        <w:t>Evaluation</w:t>
      </w:r>
    </w:p>
    <w:p w14:paraId="43D1B36B" w14:textId="78B587C8" w:rsidR="00CC4AC9" w:rsidRPr="002F1E21" w:rsidRDefault="0084060A" w:rsidP="00CC4AC9">
      <w:pPr>
        <w:pStyle w:val="ListParagraph"/>
        <w:numPr>
          <w:ilvl w:val="0"/>
          <w:numId w:val="15"/>
        </w:numPr>
        <w:spacing w:after="0" w:line="240" w:lineRule="auto"/>
        <w:rPr>
          <w:rFonts w:ascii="Century Gothic" w:hAnsi="Century Gothic"/>
          <w:sz w:val="24"/>
          <w:szCs w:val="24"/>
        </w:rPr>
      </w:pPr>
      <w:r w:rsidRPr="002F1E21">
        <w:rPr>
          <w:rFonts w:ascii="Century Gothic" w:hAnsi="Century Gothic"/>
          <w:sz w:val="24"/>
          <w:szCs w:val="24"/>
        </w:rPr>
        <w:t>Good Practice</w:t>
      </w:r>
    </w:p>
    <w:p w14:paraId="186F483D" w14:textId="77777777" w:rsidR="00CC4AC9" w:rsidRPr="002F1E21" w:rsidRDefault="00CC4AC9" w:rsidP="00CC4AC9">
      <w:pPr>
        <w:pStyle w:val="ListParagraph"/>
        <w:numPr>
          <w:ilvl w:val="0"/>
          <w:numId w:val="15"/>
        </w:numPr>
        <w:spacing w:after="0" w:line="240" w:lineRule="auto"/>
        <w:rPr>
          <w:rFonts w:ascii="Century Gothic" w:hAnsi="Century Gothic"/>
          <w:sz w:val="24"/>
          <w:szCs w:val="24"/>
        </w:rPr>
      </w:pPr>
      <w:r w:rsidRPr="002F1E21">
        <w:rPr>
          <w:rFonts w:ascii="Century Gothic" w:hAnsi="Century Gothic"/>
          <w:sz w:val="24"/>
          <w:szCs w:val="24"/>
        </w:rPr>
        <w:t>Learning and Development</w:t>
      </w:r>
    </w:p>
    <w:p w14:paraId="2A5671FD" w14:textId="3F5AC61E" w:rsidR="00A00F99" w:rsidRPr="002F1E21" w:rsidRDefault="00A00F99" w:rsidP="00CC4AC9">
      <w:pPr>
        <w:spacing w:after="0" w:line="240" w:lineRule="auto"/>
        <w:rPr>
          <w:rFonts w:ascii="Century Gothic" w:hAnsi="Century Gothic"/>
          <w:sz w:val="24"/>
          <w:szCs w:val="24"/>
        </w:rPr>
      </w:pPr>
      <w:r w:rsidRPr="002F1E21">
        <w:rPr>
          <w:rFonts w:ascii="Century Gothic" w:hAnsi="Century Gothic"/>
          <w:b/>
          <w:bCs/>
          <w:sz w:val="24"/>
          <w:szCs w:val="24"/>
        </w:rPr>
        <w:lastRenderedPageBreak/>
        <w:t>Equally Safe Priorities for</w:t>
      </w:r>
      <w:r w:rsidR="00D147C5" w:rsidRPr="002F1E21">
        <w:rPr>
          <w:rFonts w:ascii="Century Gothic" w:hAnsi="Century Gothic"/>
          <w:b/>
          <w:bCs/>
          <w:sz w:val="24"/>
          <w:szCs w:val="24"/>
        </w:rPr>
        <w:t xml:space="preserve"> the </w:t>
      </w:r>
      <w:r w:rsidRPr="002F1E21">
        <w:rPr>
          <w:rFonts w:ascii="Century Gothic" w:hAnsi="Century Gothic"/>
          <w:b/>
          <w:bCs/>
          <w:sz w:val="24"/>
          <w:szCs w:val="24"/>
        </w:rPr>
        <w:t>A</w:t>
      </w:r>
      <w:r w:rsidR="00D147C5" w:rsidRPr="002F1E21">
        <w:rPr>
          <w:rFonts w:ascii="Century Gothic" w:hAnsi="Century Gothic"/>
          <w:b/>
          <w:bCs/>
          <w:sz w:val="24"/>
          <w:szCs w:val="24"/>
        </w:rPr>
        <w:t xml:space="preserve">ngus Violence Against </w:t>
      </w:r>
      <w:r w:rsidRPr="002F1E21">
        <w:rPr>
          <w:rFonts w:ascii="Century Gothic" w:hAnsi="Century Gothic"/>
          <w:b/>
          <w:bCs/>
          <w:sz w:val="24"/>
          <w:szCs w:val="24"/>
        </w:rPr>
        <w:t>W</w:t>
      </w:r>
      <w:r w:rsidR="00D147C5" w:rsidRPr="002F1E21">
        <w:rPr>
          <w:rFonts w:ascii="Century Gothic" w:hAnsi="Century Gothic"/>
          <w:b/>
          <w:bCs/>
          <w:sz w:val="24"/>
          <w:szCs w:val="24"/>
        </w:rPr>
        <w:t xml:space="preserve">omen </w:t>
      </w:r>
      <w:r w:rsidRPr="002F1E21">
        <w:rPr>
          <w:rFonts w:ascii="Century Gothic" w:hAnsi="Century Gothic"/>
          <w:b/>
          <w:bCs/>
          <w:sz w:val="24"/>
          <w:szCs w:val="24"/>
        </w:rPr>
        <w:t>P</w:t>
      </w:r>
      <w:r w:rsidR="00D147C5" w:rsidRPr="002F1E21">
        <w:rPr>
          <w:rFonts w:ascii="Century Gothic" w:hAnsi="Century Gothic"/>
          <w:b/>
          <w:bCs/>
          <w:sz w:val="24"/>
          <w:szCs w:val="24"/>
        </w:rPr>
        <w:t>artnership</w:t>
      </w:r>
    </w:p>
    <w:p w14:paraId="64A7897B" w14:textId="77777777" w:rsidR="00D147C5" w:rsidRPr="002F1E21" w:rsidRDefault="00D147C5">
      <w:pPr>
        <w:spacing w:after="0" w:line="240" w:lineRule="auto"/>
        <w:rPr>
          <w:rFonts w:ascii="Century Gothic" w:hAnsi="Century Gothic"/>
          <w:b/>
          <w:bCs/>
          <w:sz w:val="24"/>
          <w:szCs w:val="24"/>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1"/>
      </w:tblGrid>
      <w:tr w:rsidR="002F1E21" w:rsidRPr="002F1E21" w14:paraId="4F836264" w14:textId="77777777" w:rsidTr="00D147C5">
        <w:trPr>
          <w:trHeight w:val="705"/>
        </w:trPr>
        <w:tc>
          <w:tcPr>
            <w:tcW w:w="14601" w:type="dxa"/>
          </w:tcPr>
          <w:p w14:paraId="29F90A53" w14:textId="77777777" w:rsidR="0084060A" w:rsidRPr="002F1E21" w:rsidRDefault="0084060A" w:rsidP="0084060A">
            <w:pPr>
              <w:spacing w:after="0" w:line="240" w:lineRule="auto"/>
              <w:ind w:left="15"/>
              <w:rPr>
                <w:rFonts w:ascii="Century Gothic" w:hAnsi="Century Gothic"/>
                <w:b/>
                <w:bCs/>
              </w:rPr>
            </w:pPr>
            <w:bookmarkStart w:id="1" w:name="_Hlk72855409"/>
            <w:r w:rsidRPr="002F1E21">
              <w:rPr>
                <w:rFonts w:ascii="Century Gothic" w:hAnsi="Century Gothic"/>
                <w:b/>
                <w:bCs/>
              </w:rPr>
              <w:t>Priority 1: Angus residents embrace equality and mutual respect, and reject all forms of violence against women and girls</w:t>
            </w:r>
          </w:p>
          <w:p w14:paraId="520DCB2C" w14:textId="77777777" w:rsidR="0084060A" w:rsidRPr="002F1E21" w:rsidRDefault="0084060A" w:rsidP="0084060A">
            <w:pPr>
              <w:spacing w:after="0" w:line="240" w:lineRule="auto"/>
              <w:ind w:left="15"/>
              <w:rPr>
                <w:rFonts w:ascii="Century Gothic" w:hAnsi="Century Gothic"/>
              </w:rPr>
            </w:pPr>
          </w:p>
          <w:p w14:paraId="76383996" w14:textId="77777777" w:rsidR="0084060A" w:rsidRPr="002F1E21" w:rsidRDefault="0084060A" w:rsidP="0084060A">
            <w:pPr>
              <w:spacing w:after="0" w:line="240" w:lineRule="auto"/>
              <w:ind w:left="15"/>
              <w:rPr>
                <w:rFonts w:ascii="Century Gothic" w:hAnsi="Century Gothic"/>
              </w:rPr>
            </w:pPr>
            <w:r w:rsidRPr="002F1E21">
              <w:rPr>
                <w:rFonts w:ascii="Century Gothic" w:hAnsi="Century Gothic"/>
              </w:rPr>
              <w:t xml:space="preserve">Objectives </w:t>
            </w:r>
          </w:p>
          <w:p w14:paraId="66063131" w14:textId="77777777" w:rsidR="0084060A" w:rsidRPr="002F1E21" w:rsidRDefault="0084060A" w:rsidP="0084060A">
            <w:pPr>
              <w:pStyle w:val="ListParagraph"/>
              <w:numPr>
                <w:ilvl w:val="0"/>
                <w:numId w:val="10"/>
              </w:numPr>
              <w:spacing w:after="0" w:line="240" w:lineRule="auto"/>
              <w:ind w:left="735"/>
              <w:rPr>
                <w:rFonts w:ascii="Century Gothic" w:hAnsi="Century Gothic"/>
              </w:rPr>
            </w:pPr>
            <w:r w:rsidRPr="002F1E21">
              <w:rPr>
                <w:rFonts w:ascii="Century Gothic" w:hAnsi="Century Gothic"/>
              </w:rPr>
              <w:t>Positive gender roles are promoted</w:t>
            </w:r>
          </w:p>
          <w:p w14:paraId="169A0ED4" w14:textId="77777777" w:rsidR="0084060A" w:rsidRPr="002F1E21" w:rsidRDefault="0084060A" w:rsidP="0084060A">
            <w:pPr>
              <w:pStyle w:val="ListParagraph"/>
              <w:numPr>
                <w:ilvl w:val="0"/>
                <w:numId w:val="10"/>
              </w:numPr>
              <w:spacing w:after="0" w:line="240" w:lineRule="auto"/>
              <w:ind w:left="735"/>
              <w:rPr>
                <w:rFonts w:ascii="Century Gothic" w:hAnsi="Century Gothic"/>
              </w:rPr>
            </w:pPr>
            <w:r w:rsidRPr="002F1E21">
              <w:rPr>
                <w:rFonts w:ascii="Century Gothic" w:hAnsi="Century Gothic"/>
              </w:rPr>
              <w:t>People enjoy healthy, positive relationships</w:t>
            </w:r>
          </w:p>
          <w:p w14:paraId="2F378F51" w14:textId="77777777" w:rsidR="0084060A" w:rsidRPr="002F1E21" w:rsidRDefault="0084060A" w:rsidP="0084060A">
            <w:pPr>
              <w:pStyle w:val="ListParagraph"/>
              <w:numPr>
                <w:ilvl w:val="0"/>
                <w:numId w:val="10"/>
              </w:numPr>
              <w:spacing w:after="0" w:line="240" w:lineRule="auto"/>
              <w:ind w:left="735"/>
              <w:rPr>
                <w:rFonts w:ascii="Century Gothic" w:hAnsi="Century Gothic"/>
              </w:rPr>
            </w:pPr>
            <w:r w:rsidRPr="002F1E21">
              <w:rPr>
                <w:rFonts w:ascii="Century Gothic" w:hAnsi="Century Gothic"/>
              </w:rPr>
              <w:t xml:space="preserve">Children and young people develop an understanding of safe, </w:t>
            </w:r>
            <w:proofErr w:type="gramStart"/>
            <w:r w:rsidRPr="002F1E21">
              <w:rPr>
                <w:rFonts w:ascii="Century Gothic" w:hAnsi="Century Gothic"/>
              </w:rPr>
              <w:t>healthy</w:t>
            </w:r>
            <w:proofErr w:type="gramEnd"/>
            <w:r w:rsidRPr="002F1E21">
              <w:rPr>
                <w:rFonts w:ascii="Century Gothic" w:hAnsi="Century Gothic"/>
              </w:rPr>
              <w:t xml:space="preserve"> and positive relationships from an early age</w:t>
            </w:r>
          </w:p>
          <w:p w14:paraId="212FA231" w14:textId="77777777" w:rsidR="0084060A" w:rsidRPr="002F1E21" w:rsidRDefault="0084060A" w:rsidP="0084060A">
            <w:pPr>
              <w:pStyle w:val="ListParagraph"/>
              <w:numPr>
                <w:ilvl w:val="0"/>
                <w:numId w:val="10"/>
              </w:numPr>
              <w:spacing w:after="0" w:line="240" w:lineRule="auto"/>
              <w:ind w:left="735"/>
              <w:rPr>
                <w:rFonts w:ascii="Century Gothic" w:hAnsi="Century Gothic"/>
              </w:rPr>
            </w:pPr>
            <w:r w:rsidRPr="002F1E21">
              <w:rPr>
                <w:rFonts w:ascii="Century Gothic" w:hAnsi="Century Gothic"/>
              </w:rPr>
              <w:t>Individuals and communities recognise and challenge violent and abusive behaviour</w:t>
            </w:r>
          </w:p>
          <w:p w14:paraId="0B90DD38" w14:textId="30F424AC" w:rsidR="0084060A" w:rsidRPr="002F1E21" w:rsidRDefault="0084060A" w:rsidP="0084060A">
            <w:pPr>
              <w:pStyle w:val="ListParagraph"/>
              <w:numPr>
                <w:ilvl w:val="0"/>
                <w:numId w:val="10"/>
              </w:numPr>
              <w:spacing w:after="0" w:line="240" w:lineRule="auto"/>
              <w:ind w:left="735"/>
              <w:rPr>
                <w:rFonts w:ascii="Century Gothic" w:hAnsi="Century Gothic"/>
              </w:rPr>
            </w:pPr>
          </w:p>
        </w:tc>
      </w:tr>
      <w:tr w:rsidR="002F1E21" w:rsidRPr="002F1E21" w14:paraId="5B63F7A3" w14:textId="77777777" w:rsidTr="00D147C5">
        <w:trPr>
          <w:trHeight w:val="1560"/>
        </w:trPr>
        <w:tc>
          <w:tcPr>
            <w:tcW w:w="14601" w:type="dxa"/>
          </w:tcPr>
          <w:p w14:paraId="1C31261C" w14:textId="0A5113F7" w:rsidR="0084060A" w:rsidRPr="002F1E21" w:rsidRDefault="0084060A" w:rsidP="0084060A">
            <w:pPr>
              <w:spacing w:after="0" w:line="240" w:lineRule="auto"/>
              <w:rPr>
                <w:rFonts w:ascii="Century Gothic" w:hAnsi="Century Gothic"/>
                <w:b/>
                <w:bCs/>
              </w:rPr>
            </w:pPr>
            <w:r w:rsidRPr="002F1E21">
              <w:rPr>
                <w:rFonts w:ascii="Century Gothic" w:hAnsi="Century Gothic"/>
                <w:b/>
                <w:bCs/>
              </w:rPr>
              <w:t xml:space="preserve">Priority 2: Women and girls thrive as equal citizens in Angus: socially, culturally, </w:t>
            </w:r>
            <w:proofErr w:type="gramStart"/>
            <w:r w:rsidRPr="002F1E21">
              <w:rPr>
                <w:rFonts w:ascii="Century Gothic" w:hAnsi="Century Gothic"/>
                <w:b/>
                <w:bCs/>
              </w:rPr>
              <w:t>economically</w:t>
            </w:r>
            <w:proofErr w:type="gramEnd"/>
            <w:r w:rsidRPr="002F1E21">
              <w:rPr>
                <w:rFonts w:ascii="Century Gothic" w:hAnsi="Century Gothic"/>
                <w:b/>
                <w:bCs/>
              </w:rPr>
              <w:t xml:space="preserve"> and </w:t>
            </w:r>
            <w:r w:rsidR="00CC4AC9" w:rsidRPr="002F1E21">
              <w:rPr>
                <w:rFonts w:ascii="Century Gothic" w:hAnsi="Century Gothic"/>
                <w:b/>
                <w:bCs/>
              </w:rPr>
              <w:t>politically</w:t>
            </w:r>
            <w:r w:rsidRPr="002F1E21">
              <w:rPr>
                <w:rFonts w:ascii="Century Gothic" w:hAnsi="Century Gothic"/>
                <w:b/>
                <w:bCs/>
              </w:rPr>
              <w:t xml:space="preserve"> </w:t>
            </w:r>
          </w:p>
          <w:p w14:paraId="248FBB98" w14:textId="77777777" w:rsidR="0084060A" w:rsidRPr="002F1E21" w:rsidRDefault="0084060A" w:rsidP="0084060A">
            <w:pPr>
              <w:spacing w:after="0" w:line="240" w:lineRule="auto"/>
              <w:rPr>
                <w:rFonts w:ascii="Century Gothic" w:hAnsi="Century Gothic"/>
              </w:rPr>
            </w:pPr>
          </w:p>
          <w:p w14:paraId="391C6B45" w14:textId="77777777" w:rsidR="0084060A" w:rsidRPr="002F1E21" w:rsidRDefault="0084060A" w:rsidP="0084060A">
            <w:pPr>
              <w:spacing w:after="0" w:line="240" w:lineRule="auto"/>
              <w:rPr>
                <w:rFonts w:ascii="Century Gothic" w:hAnsi="Century Gothic"/>
              </w:rPr>
            </w:pPr>
            <w:r w:rsidRPr="002F1E21">
              <w:rPr>
                <w:rFonts w:ascii="Century Gothic" w:hAnsi="Century Gothic"/>
              </w:rPr>
              <w:t>Objectives</w:t>
            </w:r>
          </w:p>
          <w:p w14:paraId="124C00A0" w14:textId="77777777" w:rsidR="0084060A" w:rsidRPr="002F1E21" w:rsidRDefault="0084060A" w:rsidP="0084060A">
            <w:pPr>
              <w:pStyle w:val="ListParagraph"/>
              <w:numPr>
                <w:ilvl w:val="0"/>
                <w:numId w:val="12"/>
              </w:numPr>
              <w:spacing w:after="0" w:line="240" w:lineRule="auto"/>
              <w:rPr>
                <w:rFonts w:ascii="Century Gothic" w:hAnsi="Century Gothic"/>
              </w:rPr>
            </w:pPr>
            <w:r w:rsidRPr="002F1E21">
              <w:rPr>
                <w:rFonts w:ascii="Century Gothic" w:hAnsi="Century Gothic"/>
              </w:rPr>
              <w:t xml:space="preserve">Women and girls are safe, </w:t>
            </w:r>
            <w:proofErr w:type="gramStart"/>
            <w:r w:rsidRPr="002F1E21">
              <w:rPr>
                <w:rFonts w:ascii="Century Gothic" w:hAnsi="Century Gothic"/>
              </w:rPr>
              <w:t>respected</w:t>
            </w:r>
            <w:proofErr w:type="gramEnd"/>
            <w:r w:rsidRPr="002F1E21">
              <w:rPr>
                <w:rFonts w:ascii="Century Gothic" w:hAnsi="Century Gothic"/>
              </w:rPr>
              <w:t xml:space="preserve"> and equal in our communities</w:t>
            </w:r>
          </w:p>
          <w:p w14:paraId="08C0A357" w14:textId="77777777" w:rsidR="0084060A" w:rsidRPr="002F1E21" w:rsidRDefault="0084060A" w:rsidP="0084060A">
            <w:pPr>
              <w:pStyle w:val="ListParagraph"/>
              <w:numPr>
                <w:ilvl w:val="0"/>
                <w:numId w:val="12"/>
              </w:numPr>
              <w:spacing w:after="0" w:line="240" w:lineRule="auto"/>
              <w:rPr>
                <w:rFonts w:ascii="Century Gothic" w:hAnsi="Century Gothic"/>
              </w:rPr>
            </w:pPr>
            <w:r w:rsidRPr="002F1E21">
              <w:rPr>
                <w:rFonts w:ascii="Century Gothic" w:hAnsi="Century Gothic"/>
              </w:rPr>
              <w:t>Women and men have equal access to power and resources</w:t>
            </w:r>
          </w:p>
          <w:p w14:paraId="0458BD54" w14:textId="77777777" w:rsidR="0084060A" w:rsidRPr="002F1E21" w:rsidRDefault="0084060A" w:rsidP="0084060A">
            <w:pPr>
              <w:spacing w:after="0" w:line="240" w:lineRule="auto"/>
              <w:ind w:left="15"/>
              <w:rPr>
                <w:rFonts w:ascii="Century Gothic" w:hAnsi="Century Gothic"/>
                <w:b/>
                <w:bCs/>
              </w:rPr>
            </w:pPr>
          </w:p>
        </w:tc>
      </w:tr>
      <w:tr w:rsidR="002F1E21" w:rsidRPr="002F1E21" w14:paraId="30CCD722" w14:textId="77777777" w:rsidTr="00D147C5">
        <w:trPr>
          <w:trHeight w:val="945"/>
        </w:trPr>
        <w:tc>
          <w:tcPr>
            <w:tcW w:w="14601" w:type="dxa"/>
          </w:tcPr>
          <w:p w14:paraId="0DEBBB1A" w14:textId="77777777" w:rsidR="0084060A" w:rsidRPr="002F1E21" w:rsidRDefault="0084060A" w:rsidP="0084060A">
            <w:pPr>
              <w:spacing w:after="0" w:line="240" w:lineRule="auto"/>
              <w:rPr>
                <w:rFonts w:ascii="Century Gothic" w:hAnsi="Century Gothic"/>
                <w:b/>
                <w:bCs/>
              </w:rPr>
            </w:pPr>
            <w:r w:rsidRPr="002F1E21">
              <w:rPr>
                <w:rFonts w:ascii="Century Gothic" w:hAnsi="Century Gothic"/>
                <w:b/>
                <w:bCs/>
              </w:rPr>
              <w:t xml:space="preserve">Priority 3: Interventions are early and effective, preventing violence and maximising the safety and wellbeing of women, </w:t>
            </w:r>
            <w:proofErr w:type="gramStart"/>
            <w:r w:rsidRPr="002F1E21">
              <w:rPr>
                <w:rFonts w:ascii="Century Gothic" w:hAnsi="Century Gothic"/>
                <w:b/>
                <w:bCs/>
              </w:rPr>
              <w:t>children</w:t>
            </w:r>
            <w:proofErr w:type="gramEnd"/>
            <w:r w:rsidRPr="002F1E21">
              <w:rPr>
                <w:rFonts w:ascii="Century Gothic" w:hAnsi="Century Gothic"/>
                <w:b/>
                <w:bCs/>
              </w:rPr>
              <w:t xml:space="preserve"> and young people in Angus</w:t>
            </w:r>
          </w:p>
          <w:p w14:paraId="27758274" w14:textId="77777777" w:rsidR="0084060A" w:rsidRPr="002F1E21" w:rsidRDefault="0084060A" w:rsidP="0084060A">
            <w:pPr>
              <w:spacing w:after="0" w:line="240" w:lineRule="auto"/>
              <w:rPr>
                <w:rFonts w:ascii="Century Gothic" w:hAnsi="Century Gothic"/>
              </w:rPr>
            </w:pPr>
          </w:p>
          <w:p w14:paraId="621A63D8" w14:textId="77777777" w:rsidR="0084060A" w:rsidRPr="002F1E21" w:rsidRDefault="0084060A" w:rsidP="0084060A">
            <w:pPr>
              <w:spacing w:after="0" w:line="240" w:lineRule="auto"/>
              <w:rPr>
                <w:rFonts w:ascii="Century Gothic" w:hAnsi="Century Gothic"/>
              </w:rPr>
            </w:pPr>
            <w:r w:rsidRPr="002F1E21">
              <w:rPr>
                <w:rFonts w:ascii="Century Gothic" w:hAnsi="Century Gothic"/>
              </w:rPr>
              <w:t>Objectives</w:t>
            </w:r>
          </w:p>
          <w:p w14:paraId="29754F27" w14:textId="77777777" w:rsidR="0084060A" w:rsidRPr="002F1E21" w:rsidRDefault="0084060A" w:rsidP="0084060A">
            <w:pPr>
              <w:pStyle w:val="ListParagraph"/>
              <w:numPr>
                <w:ilvl w:val="0"/>
                <w:numId w:val="13"/>
              </w:numPr>
              <w:spacing w:after="0" w:line="240" w:lineRule="auto"/>
              <w:rPr>
                <w:rFonts w:ascii="Century Gothic" w:hAnsi="Century Gothic"/>
              </w:rPr>
            </w:pPr>
            <w:r w:rsidRPr="002F1E21">
              <w:rPr>
                <w:rFonts w:ascii="Century Gothic" w:hAnsi="Century Gothic"/>
              </w:rPr>
              <w:t xml:space="preserve">Women, </w:t>
            </w:r>
            <w:proofErr w:type="gramStart"/>
            <w:r w:rsidRPr="002F1E21">
              <w:rPr>
                <w:rFonts w:ascii="Century Gothic" w:hAnsi="Century Gothic"/>
              </w:rPr>
              <w:t>children</w:t>
            </w:r>
            <w:proofErr w:type="gramEnd"/>
            <w:r w:rsidRPr="002F1E21">
              <w:rPr>
                <w:rFonts w:ascii="Century Gothic" w:hAnsi="Century Gothic"/>
              </w:rPr>
              <w:t xml:space="preserve"> and young people access relevant, effective and integrated services</w:t>
            </w:r>
          </w:p>
          <w:p w14:paraId="146A6469" w14:textId="77777777" w:rsidR="0084060A" w:rsidRPr="002F1E21" w:rsidRDefault="0084060A" w:rsidP="0084060A">
            <w:pPr>
              <w:pStyle w:val="ListParagraph"/>
              <w:numPr>
                <w:ilvl w:val="0"/>
                <w:numId w:val="13"/>
              </w:numPr>
              <w:spacing w:after="0" w:line="240" w:lineRule="auto"/>
              <w:rPr>
                <w:rFonts w:ascii="Century Gothic" w:hAnsi="Century Gothic"/>
              </w:rPr>
            </w:pPr>
            <w:r w:rsidRPr="002F1E21">
              <w:rPr>
                <w:rFonts w:ascii="Century Gothic" w:hAnsi="Century Gothic"/>
              </w:rPr>
              <w:t>Service providers competently identify violence against women and girls and respond effectively to women, children and young people affected</w:t>
            </w:r>
          </w:p>
          <w:p w14:paraId="58438186" w14:textId="77777777" w:rsidR="0084060A" w:rsidRPr="002F1E21" w:rsidRDefault="0084060A" w:rsidP="0084060A">
            <w:pPr>
              <w:spacing w:after="0" w:line="240" w:lineRule="auto"/>
              <w:ind w:left="15"/>
              <w:rPr>
                <w:rFonts w:ascii="Century Gothic" w:hAnsi="Century Gothic"/>
                <w:b/>
                <w:bCs/>
              </w:rPr>
            </w:pPr>
          </w:p>
        </w:tc>
      </w:tr>
      <w:tr w:rsidR="002F1E21" w:rsidRPr="002F1E21" w14:paraId="4300ACA0" w14:textId="77777777" w:rsidTr="00D147C5">
        <w:trPr>
          <w:trHeight w:val="1005"/>
        </w:trPr>
        <w:tc>
          <w:tcPr>
            <w:tcW w:w="14601" w:type="dxa"/>
          </w:tcPr>
          <w:p w14:paraId="434A0DA1" w14:textId="77777777" w:rsidR="0084060A" w:rsidRPr="002F1E21" w:rsidRDefault="0084060A" w:rsidP="0084060A">
            <w:pPr>
              <w:spacing w:after="0" w:line="240" w:lineRule="auto"/>
              <w:rPr>
                <w:rFonts w:ascii="Century Gothic" w:hAnsi="Century Gothic"/>
                <w:b/>
                <w:bCs/>
              </w:rPr>
            </w:pPr>
            <w:r w:rsidRPr="002F1E21">
              <w:rPr>
                <w:rFonts w:ascii="Century Gothic" w:hAnsi="Century Gothic"/>
                <w:b/>
                <w:bCs/>
              </w:rPr>
              <w:t>Priority 4: men in Angus desist from all forms of violence against women and girls and perpetrators of such violence receive a robust and effective response</w:t>
            </w:r>
          </w:p>
          <w:p w14:paraId="0A700D40" w14:textId="77777777" w:rsidR="00D147C5" w:rsidRPr="002F1E21" w:rsidRDefault="00D147C5" w:rsidP="0084060A">
            <w:pPr>
              <w:spacing w:after="0" w:line="240" w:lineRule="auto"/>
              <w:rPr>
                <w:rFonts w:ascii="Century Gothic" w:hAnsi="Century Gothic"/>
              </w:rPr>
            </w:pPr>
          </w:p>
          <w:p w14:paraId="265086FC" w14:textId="77777777" w:rsidR="0084060A" w:rsidRPr="002F1E21" w:rsidRDefault="0084060A" w:rsidP="0084060A">
            <w:pPr>
              <w:spacing w:after="0" w:line="240" w:lineRule="auto"/>
              <w:rPr>
                <w:rFonts w:ascii="Century Gothic" w:hAnsi="Century Gothic"/>
              </w:rPr>
            </w:pPr>
            <w:r w:rsidRPr="002F1E21">
              <w:rPr>
                <w:rFonts w:ascii="Century Gothic" w:hAnsi="Century Gothic"/>
              </w:rPr>
              <w:t>Objectives</w:t>
            </w:r>
          </w:p>
          <w:p w14:paraId="7A5741F1" w14:textId="77777777" w:rsidR="0084060A" w:rsidRPr="002F1E21" w:rsidRDefault="0084060A" w:rsidP="0084060A">
            <w:pPr>
              <w:pStyle w:val="ListParagraph"/>
              <w:numPr>
                <w:ilvl w:val="0"/>
                <w:numId w:val="14"/>
              </w:numPr>
              <w:spacing w:after="0" w:line="240" w:lineRule="auto"/>
              <w:rPr>
                <w:rFonts w:ascii="Century Gothic" w:hAnsi="Century Gothic"/>
              </w:rPr>
            </w:pPr>
            <w:r w:rsidRPr="002F1E21">
              <w:rPr>
                <w:rFonts w:ascii="Century Gothic" w:hAnsi="Century Gothic"/>
              </w:rPr>
              <w:t xml:space="preserve">Justice responses are robust, swift, </w:t>
            </w:r>
            <w:proofErr w:type="gramStart"/>
            <w:r w:rsidRPr="002F1E21">
              <w:rPr>
                <w:rFonts w:ascii="Century Gothic" w:hAnsi="Century Gothic"/>
              </w:rPr>
              <w:t>consistent</w:t>
            </w:r>
            <w:proofErr w:type="gramEnd"/>
            <w:r w:rsidRPr="002F1E21">
              <w:rPr>
                <w:rFonts w:ascii="Century Gothic" w:hAnsi="Century Gothic"/>
              </w:rPr>
              <w:t xml:space="preserve"> and coordinated</w:t>
            </w:r>
          </w:p>
          <w:p w14:paraId="0089B6F0" w14:textId="77777777" w:rsidR="0084060A" w:rsidRPr="002F1E21" w:rsidRDefault="0084060A" w:rsidP="0084060A">
            <w:pPr>
              <w:pStyle w:val="ListParagraph"/>
              <w:numPr>
                <w:ilvl w:val="0"/>
                <w:numId w:val="14"/>
              </w:numPr>
              <w:spacing w:after="0" w:line="240" w:lineRule="auto"/>
              <w:rPr>
                <w:rFonts w:ascii="Century Gothic" w:hAnsi="Century Gothic"/>
              </w:rPr>
            </w:pPr>
            <w:r w:rsidRPr="002F1E21">
              <w:rPr>
                <w:rFonts w:ascii="Century Gothic" w:hAnsi="Century Gothic"/>
              </w:rPr>
              <w:t>Men who carry out violence against women and girls are identified early and held to account by the criminal and civil justice system</w:t>
            </w:r>
          </w:p>
          <w:p w14:paraId="3E3BB662" w14:textId="77777777" w:rsidR="0084060A" w:rsidRPr="002F1E21" w:rsidRDefault="0084060A" w:rsidP="0084060A">
            <w:pPr>
              <w:pStyle w:val="ListParagraph"/>
              <w:numPr>
                <w:ilvl w:val="0"/>
                <w:numId w:val="14"/>
              </w:numPr>
              <w:spacing w:after="0" w:line="240" w:lineRule="auto"/>
              <w:rPr>
                <w:rFonts w:ascii="Century Gothic" w:hAnsi="Century Gothic"/>
              </w:rPr>
            </w:pPr>
            <w:r w:rsidRPr="002F1E21">
              <w:rPr>
                <w:rFonts w:ascii="Century Gothic" w:hAnsi="Century Gothic"/>
              </w:rPr>
              <w:t xml:space="preserve">Relevant links are made between the experience of women, </w:t>
            </w:r>
            <w:proofErr w:type="gramStart"/>
            <w:r w:rsidRPr="002F1E21">
              <w:rPr>
                <w:rFonts w:ascii="Century Gothic" w:hAnsi="Century Gothic"/>
              </w:rPr>
              <w:t>children</w:t>
            </w:r>
            <w:proofErr w:type="gramEnd"/>
            <w:r w:rsidRPr="002F1E21">
              <w:rPr>
                <w:rFonts w:ascii="Century Gothic" w:hAnsi="Century Gothic"/>
              </w:rPr>
              <w:t xml:space="preserve"> and young people in the criminal and civil system</w:t>
            </w:r>
          </w:p>
          <w:p w14:paraId="0EBEA65B" w14:textId="77777777" w:rsidR="0084060A" w:rsidRPr="002F1E21" w:rsidRDefault="0084060A" w:rsidP="0084060A">
            <w:pPr>
              <w:spacing w:after="0" w:line="240" w:lineRule="auto"/>
              <w:ind w:left="15"/>
              <w:rPr>
                <w:rFonts w:ascii="Century Gothic" w:hAnsi="Century Gothic"/>
                <w:b/>
                <w:bCs/>
              </w:rPr>
            </w:pPr>
          </w:p>
        </w:tc>
      </w:tr>
      <w:bookmarkEnd w:id="1"/>
    </w:tbl>
    <w:p w14:paraId="1A08B233" w14:textId="77777777" w:rsidR="00401BA6" w:rsidRPr="002F1E21" w:rsidRDefault="00401BA6" w:rsidP="004706B0">
      <w:pPr>
        <w:spacing w:after="0"/>
        <w:rPr>
          <w:rFonts w:ascii="Century Gothic" w:hAnsi="Century Gothic"/>
          <w:b/>
          <w:bCs/>
          <w:vanish/>
          <w:sz w:val="48"/>
          <w:szCs w:val="48"/>
        </w:rPr>
      </w:pPr>
    </w:p>
    <w:p w14:paraId="2F69E60C" w14:textId="35BEE074" w:rsidR="00C30330" w:rsidRPr="002F1E21" w:rsidRDefault="00C30330"/>
    <w:p w14:paraId="3C72D5EF" w14:textId="77777777" w:rsidR="00710631" w:rsidRPr="002F1E21" w:rsidRDefault="00710631" w:rsidP="00710631">
      <w:pPr>
        <w:spacing w:after="0"/>
        <w:rPr>
          <w:vanish/>
        </w:rPr>
      </w:pPr>
    </w:p>
    <w:tbl>
      <w:tblPr>
        <w:tblW w:w="1573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563"/>
        <w:gridCol w:w="4197"/>
        <w:gridCol w:w="14"/>
        <w:gridCol w:w="1938"/>
        <w:gridCol w:w="5624"/>
        <w:gridCol w:w="2372"/>
        <w:gridCol w:w="14"/>
      </w:tblGrid>
      <w:tr w:rsidR="002F1E21" w:rsidRPr="002F1E21" w14:paraId="6C4D18EE" w14:textId="77777777" w:rsidTr="00401BA6">
        <w:trPr>
          <w:gridAfter w:val="1"/>
          <w:wAfter w:w="14" w:type="dxa"/>
          <w:trHeight w:val="600"/>
        </w:trPr>
        <w:tc>
          <w:tcPr>
            <w:tcW w:w="15721" w:type="dxa"/>
            <w:gridSpan w:val="7"/>
            <w:shd w:val="clear" w:color="auto" w:fill="D9D9D9" w:themeFill="background1" w:themeFillShade="D9"/>
          </w:tcPr>
          <w:p w14:paraId="591DEE55" w14:textId="7F048EFF" w:rsidR="00D147C5" w:rsidRPr="002F1E21" w:rsidRDefault="00D147C5" w:rsidP="008F33AB">
            <w:pPr>
              <w:pStyle w:val="ListParagraph"/>
              <w:numPr>
                <w:ilvl w:val="0"/>
                <w:numId w:val="16"/>
              </w:numPr>
              <w:jc w:val="center"/>
              <w:rPr>
                <w:rFonts w:ascii="Century Gothic" w:hAnsi="Century Gothic"/>
                <w:b/>
                <w:bCs/>
                <w:sz w:val="28"/>
                <w:szCs w:val="28"/>
              </w:rPr>
            </w:pPr>
            <w:bookmarkStart w:id="2" w:name="_Hlk72764680"/>
            <w:r w:rsidRPr="002F1E21">
              <w:rPr>
                <w:rFonts w:ascii="Century Gothic" w:hAnsi="Century Gothic"/>
                <w:b/>
                <w:bCs/>
                <w:sz w:val="28"/>
                <w:szCs w:val="28"/>
              </w:rPr>
              <w:t>Prevention</w:t>
            </w:r>
          </w:p>
        </w:tc>
      </w:tr>
      <w:tr w:rsidR="002F1E21" w:rsidRPr="002F1E21" w14:paraId="24AC1ED0"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c>
          <w:tcPr>
            <w:tcW w:w="1013" w:type="dxa"/>
            <w:tcBorders>
              <w:right w:val="single" w:sz="4" w:space="0" w:color="auto"/>
            </w:tcBorders>
            <w:shd w:val="clear" w:color="auto" w:fill="auto"/>
          </w:tcPr>
          <w:p w14:paraId="1C861901" w14:textId="47A695C8" w:rsidR="00D147C5" w:rsidRPr="002F1E21" w:rsidRDefault="00D147C5" w:rsidP="00D147C5">
            <w:pPr>
              <w:rPr>
                <w:rFonts w:ascii="Century Gothic" w:hAnsi="Century Gothic"/>
                <w:b/>
                <w:bCs/>
              </w:rPr>
            </w:pPr>
            <w:bookmarkStart w:id="3" w:name="_Hlk72764733"/>
            <w:r w:rsidRPr="002F1E21">
              <w:rPr>
                <w:rFonts w:ascii="Century Gothic" w:hAnsi="Century Gothic"/>
                <w:b/>
                <w:bCs/>
              </w:rPr>
              <w:t xml:space="preserve">Equally Safe </w:t>
            </w:r>
            <w:r w:rsidR="007A6506" w:rsidRPr="002F1E21">
              <w:rPr>
                <w:rFonts w:ascii="Century Gothic" w:hAnsi="Century Gothic"/>
                <w:b/>
                <w:bCs/>
              </w:rPr>
              <w:t>P</w:t>
            </w:r>
            <w:r w:rsidRPr="002F1E21">
              <w:rPr>
                <w:rFonts w:ascii="Century Gothic" w:hAnsi="Century Gothic"/>
                <w:b/>
                <w:bCs/>
              </w:rPr>
              <w:t>riority</w:t>
            </w:r>
            <w:r w:rsidR="00CC4AC9" w:rsidRPr="002F1E21">
              <w:rPr>
                <w:rFonts w:ascii="Century Gothic" w:hAnsi="Century Gothic"/>
                <w:b/>
                <w:bCs/>
              </w:rPr>
              <w:t xml:space="preserve"> </w:t>
            </w:r>
            <w:r w:rsidR="007A6506" w:rsidRPr="002F1E21">
              <w:rPr>
                <w:rFonts w:ascii="Century Gothic" w:hAnsi="Century Gothic"/>
                <w:b/>
                <w:bCs/>
              </w:rPr>
              <w:t>A</w:t>
            </w:r>
            <w:r w:rsidR="00CC4AC9" w:rsidRPr="002F1E21">
              <w:rPr>
                <w:rFonts w:ascii="Century Gothic" w:hAnsi="Century Gothic"/>
                <w:b/>
                <w:bCs/>
              </w:rPr>
              <w:t>rea</w:t>
            </w:r>
          </w:p>
        </w:tc>
        <w:tc>
          <w:tcPr>
            <w:tcW w:w="563" w:type="dxa"/>
            <w:tcBorders>
              <w:left w:val="single" w:sz="4" w:space="0" w:color="auto"/>
            </w:tcBorders>
            <w:shd w:val="clear" w:color="auto" w:fill="auto"/>
          </w:tcPr>
          <w:p w14:paraId="3206D6B1" w14:textId="77777777" w:rsidR="00D147C5" w:rsidRPr="002F1E21" w:rsidRDefault="00D147C5" w:rsidP="00D147C5">
            <w:pPr>
              <w:rPr>
                <w:rFonts w:ascii="Century Gothic" w:hAnsi="Century Gothic"/>
                <w:b/>
                <w:bCs/>
              </w:rPr>
            </w:pPr>
          </w:p>
        </w:tc>
        <w:tc>
          <w:tcPr>
            <w:tcW w:w="4211" w:type="dxa"/>
            <w:gridSpan w:val="2"/>
            <w:shd w:val="clear" w:color="auto" w:fill="auto"/>
          </w:tcPr>
          <w:p w14:paraId="5F79F368" w14:textId="2925B18B" w:rsidR="00D147C5" w:rsidRPr="002F1E21" w:rsidRDefault="00D147C5" w:rsidP="00D147C5">
            <w:pPr>
              <w:rPr>
                <w:rFonts w:ascii="Century Gothic" w:hAnsi="Century Gothic"/>
                <w:b/>
              </w:rPr>
            </w:pPr>
            <w:r w:rsidRPr="002F1E21">
              <w:rPr>
                <w:rFonts w:ascii="Century Gothic" w:hAnsi="Century Gothic"/>
                <w:b/>
                <w:bCs/>
              </w:rPr>
              <w:t xml:space="preserve"> </w:t>
            </w:r>
            <w:r w:rsidR="00CC4AC9" w:rsidRPr="002F1E21">
              <w:rPr>
                <w:rFonts w:ascii="Century Gothic" w:hAnsi="Century Gothic"/>
                <w:b/>
                <w:bCs/>
              </w:rPr>
              <w:t>Action</w:t>
            </w:r>
          </w:p>
        </w:tc>
        <w:tc>
          <w:tcPr>
            <w:tcW w:w="1938" w:type="dxa"/>
            <w:shd w:val="clear" w:color="auto" w:fill="auto"/>
          </w:tcPr>
          <w:p w14:paraId="647BD7E3" w14:textId="77777777" w:rsidR="00D147C5" w:rsidRPr="002F1E21" w:rsidRDefault="00D147C5" w:rsidP="00D147C5">
            <w:pPr>
              <w:rPr>
                <w:rFonts w:ascii="Century Gothic" w:hAnsi="Century Gothic"/>
                <w:b/>
              </w:rPr>
            </w:pPr>
            <w:r w:rsidRPr="002F1E21">
              <w:rPr>
                <w:rFonts w:ascii="Century Gothic" w:hAnsi="Century Gothic"/>
                <w:b/>
              </w:rPr>
              <w:t>Lead</w:t>
            </w:r>
          </w:p>
        </w:tc>
        <w:tc>
          <w:tcPr>
            <w:tcW w:w="5624" w:type="dxa"/>
            <w:shd w:val="clear" w:color="auto" w:fill="auto"/>
          </w:tcPr>
          <w:p w14:paraId="7E160A02" w14:textId="747C866C" w:rsidR="00D147C5" w:rsidRPr="002F1E21" w:rsidRDefault="00D147C5" w:rsidP="00D147C5">
            <w:pPr>
              <w:rPr>
                <w:rFonts w:ascii="Century Gothic" w:hAnsi="Century Gothic"/>
                <w:b/>
              </w:rPr>
            </w:pPr>
            <w:r w:rsidRPr="002F1E21">
              <w:rPr>
                <w:rFonts w:ascii="Century Gothic" w:hAnsi="Century Gothic"/>
                <w:b/>
              </w:rPr>
              <w:t>Indicator</w:t>
            </w:r>
            <w:r w:rsidR="00CC4AC9" w:rsidRPr="002F1E21">
              <w:rPr>
                <w:rFonts w:ascii="Century Gothic" w:hAnsi="Century Gothic"/>
                <w:b/>
              </w:rPr>
              <w:t>/Outcome</w:t>
            </w:r>
          </w:p>
        </w:tc>
        <w:tc>
          <w:tcPr>
            <w:tcW w:w="2386" w:type="dxa"/>
            <w:gridSpan w:val="2"/>
            <w:shd w:val="clear" w:color="auto" w:fill="auto"/>
          </w:tcPr>
          <w:p w14:paraId="2E8AFA2B" w14:textId="2372ACD3" w:rsidR="00D147C5" w:rsidRPr="002F1E21" w:rsidRDefault="00D147C5" w:rsidP="00D147C5">
            <w:pPr>
              <w:rPr>
                <w:rFonts w:ascii="Century Gothic" w:hAnsi="Century Gothic"/>
                <w:b/>
              </w:rPr>
            </w:pPr>
            <w:r w:rsidRPr="002F1E21">
              <w:rPr>
                <w:rFonts w:ascii="Century Gothic" w:hAnsi="Century Gothic"/>
                <w:b/>
              </w:rPr>
              <w:t>Timescale</w:t>
            </w:r>
            <w:r w:rsidR="00835B56">
              <w:rPr>
                <w:rFonts w:ascii="Century Gothic" w:hAnsi="Century Gothic"/>
                <w:b/>
              </w:rPr>
              <w:t>/update</w:t>
            </w:r>
          </w:p>
        </w:tc>
      </w:tr>
      <w:bookmarkEnd w:id="2"/>
      <w:bookmarkEnd w:id="3"/>
      <w:tr w:rsidR="002F1E21" w:rsidRPr="002F1E21" w14:paraId="70B094E9" w14:textId="77777777" w:rsidTr="006D7A2F">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trHeight w:val="1505"/>
        </w:trPr>
        <w:tc>
          <w:tcPr>
            <w:tcW w:w="1013" w:type="dxa"/>
            <w:tcBorders>
              <w:bottom w:val="single" w:sz="8" w:space="0" w:color="9F8AB9"/>
              <w:right w:val="single" w:sz="4" w:space="0" w:color="auto"/>
            </w:tcBorders>
            <w:shd w:val="clear" w:color="auto" w:fill="auto"/>
          </w:tcPr>
          <w:p w14:paraId="7A26C735" w14:textId="3ABF781B" w:rsidR="00D147C5" w:rsidRPr="002F1E21" w:rsidRDefault="007A6506" w:rsidP="007A6506">
            <w:pPr>
              <w:jc w:val="center"/>
              <w:rPr>
                <w:rFonts w:ascii="Century Gothic" w:hAnsi="Century Gothic"/>
                <w:b/>
                <w:bCs/>
              </w:rPr>
            </w:pPr>
            <w:r w:rsidRPr="002F1E21">
              <w:rPr>
                <w:rFonts w:ascii="Century Gothic" w:hAnsi="Century Gothic"/>
                <w:b/>
                <w:bCs/>
              </w:rPr>
              <w:t>1,2,3</w:t>
            </w:r>
          </w:p>
        </w:tc>
        <w:tc>
          <w:tcPr>
            <w:tcW w:w="563" w:type="dxa"/>
            <w:tcBorders>
              <w:left w:val="single" w:sz="4" w:space="0" w:color="auto"/>
              <w:bottom w:val="single" w:sz="8" w:space="0" w:color="9F8AB9"/>
            </w:tcBorders>
            <w:shd w:val="clear" w:color="auto" w:fill="auto"/>
          </w:tcPr>
          <w:p w14:paraId="0351640E" w14:textId="57BCA6D1" w:rsidR="00D147C5" w:rsidRPr="002F1E21" w:rsidRDefault="00D147C5" w:rsidP="00D147C5">
            <w:pPr>
              <w:rPr>
                <w:rFonts w:ascii="Century Gothic" w:hAnsi="Century Gothic"/>
                <w:b/>
                <w:bCs/>
              </w:rPr>
            </w:pPr>
            <w:r w:rsidRPr="002F1E21">
              <w:rPr>
                <w:rFonts w:ascii="Century Gothic" w:hAnsi="Century Gothic"/>
                <w:b/>
                <w:bCs/>
              </w:rPr>
              <w:t>1.1</w:t>
            </w:r>
          </w:p>
        </w:tc>
        <w:tc>
          <w:tcPr>
            <w:tcW w:w="4211" w:type="dxa"/>
            <w:gridSpan w:val="2"/>
            <w:tcBorders>
              <w:bottom w:val="single" w:sz="8" w:space="0" w:color="9F8AB9"/>
            </w:tcBorders>
            <w:shd w:val="clear" w:color="auto" w:fill="auto"/>
          </w:tcPr>
          <w:p w14:paraId="102DA2A2" w14:textId="5443ED10" w:rsidR="00D147C5" w:rsidRPr="002F1E21" w:rsidRDefault="00C40D31" w:rsidP="00C40D31">
            <w:pPr>
              <w:shd w:val="clear" w:color="auto" w:fill="FFFFFF"/>
              <w:spacing w:after="0"/>
              <w:rPr>
                <w:rFonts w:ascii="Century Gothic" w:hAnsi="Century Gothic"/>
              </w:rPr>
            </w:pPr>
            <w:r w:rsidRPr="002F1E21">
              <w:rPr>
                <w:rFonts w:ascii="Century Gothic" w:hAnsi="Century Gothic"/>
              </w:rPr>
              <w:t xml:space="preserve">Create a Prevention Subgroup and appropriate Terms of Reference to develop a Prevention Strategy in respect of Gender Based Violence </w:t>
            </w:r>
          </w:p>
          <w:p w14:paraId="41C4DA8C" w14:textId="77777777" w:rsidR="00D147C5" w:rsidRPr="002F1E21" w:rsidRDefault="00D147C5" w:rsidP="00C40D31">
            <w:pPr>
              <w:shd w:val="clear" w:color="auto" w:fill="FFFFFF"/>
              <w:spacing w:after="0"/>
              <w:rPr>
                <w:rFonts w:ascii="Century Gothic" w:hAnsi="Century Gothic"/>
              </w:rPr>
            </w:pPr>
          </w:p>
        </w:tc>
        <w:tc>
          <w:tcPr>
            <w:tcW w:w="1938" w:type="dxa"/>
            <w:tcBorders>
              <w:bottom w:val="single" w:sz="8" w:space="0" w:color="9F8AB9"/>
            </w:tcBorders>
            <w:shd w:val="clear" w:color="auto" w:fill="auto"/>
          </w:tcPr>
          <w:p w14:paraId="38010174" w14:textId="4C3D78CA" w:rsidR="00D147C5" w:rsidRPr="002F1E21" w:rsidRDefault="00C40D31" w:rsidP="00D147C5">
            <w:pPr>
              <w:spacing w:after="0"/>
              <w:ind w:left="176"/>
              <w:rPr>
                <w:rFonts w:ascii="Century Gothic" w:hAnsi="Century Gothic"/>
              </w:rPr>
            </w:pPr>
            <w:r w:rsidRPr="002F1E21">
              <w:rPr>
                <w:rFonts w:ascii="Century Gothic" w:hAnsi="Century Gothic"/>
              </w:rPr>
              <w:t>PPA Development Officer</w:t>
            </w:r>
          </w:p>
        </w:tc>
        <w:tc>
          <w:tcPr>
            <w:tcW w:w="5624" w:type="dxa"/>
            <w:tcBorders>
              <w:bottom w:val="single" w:sz="8" w:space="0" w:color="9F8AB9"/>
            </w:tcBorders>
            <w:shd w:val="clear" w:color="auto" w:fill="auto"/>
          </w:tcPr>
          <w:p w14:paraId="5C0E3895" w14:textId="22418ABB" w:rsidR="00D147C5" w:rsidRPr="002F1E21" w:rsidRDefault="00401BA6" w:rsidP="00D147C5">
            <w:pPr>
              <w:rPr>
                <w:rFonts w:ascii="Century Gothic" w:hAnsi="Century Gothic"/>
              </w:rPr>
            </w:pPr>
            <w:r w:rsidRPr="002F1E21">
              <w:rPr>
                <w:rFonts w:ascii="Century Gothic" w:hAnsi="Century Gothic"/>
              </w:rPr>
              <w:t>Prevention Subgroup</w:t>
            </w:r>
            <w:r w:rsidR="00C40D31" w:rsidRPr="002F1E21">
              <w:rPr>
                <w:rFonts w:ascii="Century Gothic" w:hAnsi="Century Gothic"/>
              </w:rPr>
              <w:t xml:space="preserve"> </w:t>
            </w:r>
            <w:r w:rsidRPr="002F1E21">
              <w:rPr>
                <w:rFonts w:ascii="Century Gothic" w:hAnsi="Century Gothic"/>
              </w:rPr>
              <w:t>in place</w:t>
            </w:r>
          </w:p>
          <w:p w14:paraId="62AA6685" w14:textId="4CB361DF" w:rsidR="00C40D31" w:rsidRPr="002F1E21" w:rsidRDefault="00C40D31" w:rsidP="00C40D31">
            <w:pPr>
              <w:rPr>
                <w:rFonts w:ascii="Century Gothic" w:hAnsi="Century Gothic"/>
              </w:rPr>
            </w:pPr>
            <w:r w:rsidRPr="002F1E21">
              <w:rPr>
                <w:rFonts w:ascii="Century Gothic" w:hAnsi="Century Gothic"/>
              </w:rPr>
              <w:t>Prevention Strategy and Action Plan in place</w:t>
            </w:r>
          </w:p>
          <w:p w14:paraId="6AC1E801" w14:textId="3C092778" w:rsidR="00C40D31" w:rsidRPr="002F1E21" w:rsidRDefault="00C40D31" w:rsidP="00D147C5">
            <w:pPr>
              <w:rPr>
                <w:rFonts w:ascii="Century Gothic" w:hAnsi="Century Gothic"/>
              </w:rPr>
            </w:pPr>
            <w:r w:rsidRPr="002F1E21">
              <w:rPr>
                <w:rFonts w:ascii="Century Gothic" w:hAnsi="Century Gothic"/>
              </w:rPr>
              <w:t xml:space="preserve"> Quarterly reporting to AVAWP</w:t>
            </w:r>
          </w:p>
        </w:tc>
        <w:tc>
          <w:tcPr>
            <w:tcW w:w="2386" w:type="dxa"/>
            <w:gridSpan w:val="2"/>
            <w:tcBorders>
              <w:bottom w:val="single" w:sz="8" w:space="0" w:color="9F8AB9"/>
            </w:tcBorders>
            <w:shd w:val="clear" w:color="auto" w:fill="FFFFFF" w:themeFill="background1"/>
          </w:tcPr>
          <w:p w14:paraId="2BEE5145" w14:textId="26C8DB68" w:rsidR="00427655" w:rsidRPr="002F1E21" w:rsidRDefault="00427655" w:rsidP="00D147C5">
            <w:pPr>
              <w:rPr>
                <w:rFonts w:ascii="Century Gothic" w:hAnsi="Century Gothic"/>
                <w:b/>
              </w:rPr>
            </w:pPr>
          </w:p>
        </w:tc>
      </w:tr>
      <w:tr w:rsidR="002F1E21" w:rsidRPr="002F1E21" w14:paraId="695D5935"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c>
          <w:tcPr>
            <w:tcW w:w="1013" w:type="dxa"/>
            <w:tcBorders>
              <w:bottom w:val="single" w:sz="8" w:space="0" w:color="9F8AB9"/>
              <w:right w:val="single" w:sz="4" w:space="0" w:color="auto"/>
            </w:tcBorders>
            <w:shd w:val="clear" w:color="auto" w:fill="auto"/>
          </w:tcPr>
          <w:p w14:paraId="66AFA6DE" w14:textId="2A57A3D8" w:rsidR="006F1A74" w:rsidRPr="002F1E21" w:rsidRDefault="007A6506" w:rsidP="007A6506">
            <w:pPr>
              <w:jc w:val="center"/>
              <w:rPr>
                <w:rFonts w:ascii="Century Gothic" w:hAnsi="Century Gothic"/>
                <w:b/>
                <w:bCs/>
              </w:rPr>
            </w:pPr>
            <w:r w:rsidRPr="002F1E21">
              <w:rPr>
                <w:rFonts w:ascii="Century Gothic" w:hAnsi="Century Gothic"/>
                <w:b/>
                <w:bCs/>
              </w:rPr>
              <w:t>1,2,3</w:t>
            </w:r>
          </w:p>
        </w:tc>
        <w:tc>
          <w:tcPr>
            <w:tcW w:w="563" w:type="dxa"/>
            <w:tcBorders>
              <w:left w:val="single" w:sz="4" w:space="0" w:color="auto"/>
              <w:bottom w:val="single" w:sz="8" w:space="0" w:color="9F8AB9"/>
            </w:tcBorders>
            <w:shd w:val="clear" w:color="auto" w:fill="auto"/>
          </w:tcPr>
          <w:p w14:paraId="7BA17E05" w14:textId="6CB36691" w:rsidR="006F1A74" w:rsidRPr="002F1E21" w:rsidRDefault="00EB18DF" w:rsidP="00D147C5">
            <w:pPr>
              <w:rPr>
                <w:rFonts w:ascii="Century Gothic" w:hAnsi="Century Gothic"/>
                <w:b/>
                <w:bCs/>
              </w:rPr>
            </w:pPr>
            <w:r w:rsidRPr="002F1E21">
              <w:rPr>
                <w:rFonts w:ascii="Century Gothic" w:hAnsi="Century Gothic"/>
                <w:b/>
                <w:bCs/>
              </w:rPr>
              <w:t>1.2</w:t>
            </w:r>
          </w:p>
        </w:tc>
        <w:tc>
          <w:tcPr>
            <w:tcW w:w="4211" w:type="dxa"/>
            <w:gridSpan w:val="2"/>
            <w:tcBorders>
              <w:bottom w:val="single" w:sz="8" w:space="0" w:color="9F8AB9"/>
            </w:tcBorders>
            <w:shd w:val="clear" w:color="auto" w:fill="auto"/>
          </w:tcPr>
          <w:p w14:paraId="7D6C81D2" w14:textId="7982195D" w:rsidR="006F1A74" w:rsidRPr="002F1E21" w:rsidRDefault="00C40D31" w:rsidP="00D147C5">
            <w:pPr>
              <w:shd w:val="clear" w:color="auto" w:fill="FFFFFF"/>
              <w:spacing w:after="0"/>
              <w:rPr>
                <w:rFonts w:ascii="Century Gothic" w:hAnsi="Century Gothic"/>
              </w:rPr>
            </w:pPr>
            <w:r w:rsidRPr="002F1E21">
              <w:rPr>
                <w:rFonts w:ascii="Century Gothic" w:hAnsi="Century Gothic"/>
              </w:rPr>
              <w:t xml:space="preserve">Independent Chair and Lead Officer to attend PPA Chairs and Lead Officers Group to ensure GBV is recognised as a significant issue requiring </w:t>
            </w:r>
            <w:r w:rsidR="008E15FD" w:rsidRPr="002F1E21">
              <w:rPr>
                <w:rFonts w:ascii="Century Gothic" w:hAnsi="Century Gothic"/>
              </w:rPr>
              <w:t xml:space="preserve">awareness </w:t>
            </w:r>
            <w:r w:rsidRPr="002F1E21">
              <w:rPr>
                <w:rFonts w:ascii="Century Gothic" w:hAnsi="Century Gothic"/>
              </w:rPr>
              <w:t>across the other PPA partnerships</w:t>
            </w:r>
          </w:p>
        </w:tc>
        <w:tc>
          <w:tcPr>
            <w:tcW w:w="1938" w:type="dxa"/>
            <w:tcBorders>
              <w:bottom w:val="single" w:sz="8" w:space="0" w:color="9F8AB9"/>
            </w:tcBorders>
            <w:shd w:val="clear" w:color="auto" w:fill="auto"/>
          </w:tcPr>
          <w:p w14:paraId="46BD46CE" w14:textId="43364899" w:rsidR="006F1A74" w:rsidRPr="002F1E21" w:rsidRDefault="00C40D31" w:rsidP="00D147C5">
            <w:pPr>
              <w:spacing w:after="0"/>
              <w:ind w:left="176"/>
              <w:rPr>
                <w:rFonts w:ascii="Century Gothic" w:hAnsi="Century Gothic"/>
              </w:rPr>
            </w:pPr>
            <w:r w:rsidRPr="002F1E21">
              <w:rPr>
                <w:rFonts w:ascii="Century Gothic" w:hAnsi="Century Gothic"/>
              </w:rPr>
              <w:t>Independent Chair and Lead Officer</w:t>
            </w:r>
          </w:p>
        </w:tc>
        <w:tc>
          <w:tcPr>
            <w:tcW w:w="5624" w:type="dxa"/>
            <w:tcBorders>
              <w:bottom w:val="single" w:sz="8" w:space="0" w:color="9F8AB9"/>
            </w:tcBorders>
            <w:shd w:val="clear" w:color="auto" w:fill="auto"/>
          </w:tcPr>
          <w:p w14:paraId="66522DDE" w14:textId="27EE1981" w:rsidR="006F1A74" w:rsidRPr="002F1E21" w:rsidRDefault="00C40D31" w:rsidP="00D147C5">
            <w:pPr>
              <w:rPr>
                <w:rFonts w:ascii="Century Gothic" w:hAnsi="Century Gothic"/>
              </w:rPr>
            </w:pPr>
            <w:r w:rsidRPr="002F1E21">
              <w:rPr>
                <w:rFonts w:ascii="Century Gothic" w:hAnsi="Century Gothic"/>
              </w:rPr>
              <w:t>The VAWP has clear strategic links with other relevant thematic partnerships/groups who are working towards shared outcomes</w:t>
            </w:r>
          </w:p>
        </w:tc>
        <w:tc>
          <w:tcPr>
            <w:tcW w:w="2386" w:type="dxa"/>
            <w:gridSpan w:val="2"/>
            <w:tcBorders>
              <w:bottom w:val="single" w:sz="8" w:space="0" w:color="9F8AB9"/>
            </w:tcBorders>
            <w:shd w:val="clear" w:color="auto" w:fill="auto"/>
          </w:tcPr>
          <w:p w14:paraId="79B6801A" w14:textId="0295D9FC" w:rsidR="006F1A74" w:rsidRPr="00427655" w:rsidRDefault="006F1A74" w:rsidP="00D147C5">
            <w:pPr>
              <w:rPr>
                <w:rFonts w:ascii="Century Gothic" w:hAnsi="Century Gothic"/>
                <w:bCs/>
              </w:rPr>
            </w:pPr>
          </w:p>
        </w:tc>
      </w:tr>
      <w:tr w:rsidR="002F1E21" w:rsidRPr="002F1E21" w14:paraId="5C0C06A6"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Height w:val="973"/>
        </w:trPr>
        <w:tc>
          <w:tcPr>
            <w:tcW w:w="1013" w:type="dxa"/>
            <w:tcBorders>
              <w:bottom w:val="single" w:sz="8" w:space="0" w:color="9F8AB9"/>
              <w:right w:val="single" w:sz="4" w:space="0" w:color="auto"/>
            </w:tcBorders>
            <w:shd w:val="clear" w:color="auto" w:fill="FFFFFF"/>
          </w:tcPr>
          <w:p w14:paraId="414DAE79" w14:textId="5E6F7EB2" w:rsidR="00D147C5" w:rsidRPr="002F1E21" w:rsidRDefault="007A6506" w:rsidP="007A6506">
            <w:pPr>
              <w:jc w:val="center"/>
              <w:rPr>
                <w:rFonts w:ascii="Century Gothic" w:hAnsi="Century Gothic"/>
                <w:b/>
                <w:bCs/>
              </w:rPr>
            </w:pPr>
            <w:r w:rsidRPr="002F1E21">
              <w:rPr>
                <w:rFonts w:ascii="Century Gothic" w:hAnsi="Century Gothic"/>
                <w:b/>
                <w:bCs/>
              </w:rPr>
              <w:t>1,2,</w:t>
            </w:r>
          </w:p>
        </w:tc>
        <w:tc>
          <w:tcPr>
            <w:tcW w:w="563" w:type="dxa"/>
            <w:tcBorders>
              <w:left w:val="single" w:sz="4" w:space="0" w:color="auto"/>
              <w:bottom w:val="single" w:sz="8" w:space="0" w:color="9F8AB9"/>
            </w:tcBorders>
            <w:shd w:val="clear" w:color="auto" w:fill="FFFFFF"/>
          </w:tcPr>
          <w:p w14:paraId="476E3F49" w14:textId="7EF3C68F" w:rsidR="00D147C5" w:rsidRPr="002F1E21" w:rsidRDefault="00D147C5" w:rsidP="00D147C5">
            <w:pPr>
              <w:rPr>
                <w:rFonts w:ascii="Century Gothic" w:hAnsi="Century Gothic"/>
                <w:b/>
                <w:bCs/>
              </w:rPr>
            </w:pPr>
            <w:r w:rsidRPr="002F1E21">
              <w:rPr>
                <w:rFonts w:ascii="Century Gothic" w:hAnsi="Century Gothic"/>
                <w:b/>
                <w:bCs/>
              </w:rPr>
              <w:t>1.</w:t>
            </w:r>
            <w:r w:rsidR="00EB18DF" w:rsidRPr="002F1E21">
              <w:rPr>
                <w:rFonts w:ascii="Century Gothic" w:hAnsi="Century Gothic"/>
                <w:b/>
                <w:bCs/>
              </w:rPr>
              <w:t>3</w:t>
            </w:r>
          </w:p>
        </w:tc>
        <w:tc>
          <w:tcPr>
            <w:tcW w:w="4197" w:type="dxa"/>
            <w:tcBorders>
              <w:bottom w:val="single" w:sz="8" w:space="0" w:color="9F8AB9"/>
            </w:tcBorders>
            <w:shd w:val="clear" w:color="auto" w:fill="FFFFFF"/>
          </w:tcPr>
          <w:p w14:paraId="7F75B88A" w14:textId="209454AC" w:rsidR="00D147C5" w:rsidRPr="002F1E21" w:rsidRDefault="00BA1C40" w:rsidP="00BA1C40">
            <w:pPr>
              <w:spacing w:after="0"/>
              <w:rPr>
                <w:rFonts w:ascii="Century Gothic" w:hAnsi="Century Gothic"/>
                <w:b/>
              </w:rPr>
            </w:pPr>
            <w:r w:rsidRPr="002F1E21">
              <w:rPr>
                <w:rFonts w:ascii="Century Gothic" w:hAnsi="Century Gothic"/>
              </w:rPr>
              <w:t xml:space="preserve">Proactive engagement and communications take place </w:t>
            </w:r>
            <w:r w:rsidR="00427655" w:rsidRPr="002F1E21">
              <w:rPr>
                <w:rFonts w:ascii="Century Gothic" w:hAnsi="Century Gothic"/>
              </w:rPr>
              <w:t>in Angus</w:t>
            </w:r>
            <w:r w:rsidR="000F52AB" w:rsidRPr="002F1E21">
              <w:rPr>
                <w:rFonts w:ascii="Century Gothic" w:hAnsi="Century Gothic"/>
              </w:rPr>
              <w:t xml:space="preserve"> </w:t>
            </w:r>
            <w:r w:rsidRPr="002F1E21">
              <w:rPr>
                <w:rFonts w:ascii="Century Gothic" w:hAnsi="Century Gothic"/>
              </w:rPr>
              <w:t>communit</w:t>
            </w:r>
            <w:r w:rsidR="000F52AB" w:rsidRPr="002F1E21">
              <w:rPr>
                <w:rFonts w:ascii="Century Gothic" w:hAnsi="Century Gothic"/>
              </w:rPr>
              <w:t>ies</w:t>
            </w:r>
            <w:r w:rsidRPr="002F1E21">
              <w:rPr>
                <w:rFonts w:ascii="Century Gothic" w:hAnsi="Century Gothic"/>
              </w:rPr>
              <w:t xml:space="preserve"> to increase people’s awareness and understanding of the causes and consequences of VAWG, and the role they can play in tackling it</w:t>
            </w:r>
          </w:p>
        </w:tc>
        <w:tc>
          <w:tcPr>
            <w:tcW w:w="1952" w:type="dxa"/>
            <w:gridSpan w:val="2"/>
            <w:tcBorders>
              <w:bottom w:val="single" w:sz="8" w:space="0" w:color="9F8AB9"/>
            </w:tcBorders>
            <w:shd w:val="clear" w:color="auto" w:fill="FFFFFF"/>
          </w:tcPr>
          <w:p w14:paraId="6235709B" w14:textId="6A431D3B" w:rsidR="00D147C5" w:rsidRPr="002F1E21" w:rsidRDefault="002F6086" w:rsidP="00D147C5">
            <w:pPr>
              <w:ind w:left="177"/>
              <w:rPr>
                <w:rFonts w:ascii="Century Gothic" w:hAnsi="Century Gothic"/>
              </w:rPr>
            </w:pPr>
            <w:r w:rsidRPr="002F1E21">
              <w:rPr>
                <w:rFonts w:ascii="Century Gothic" w:hAnsi="Century Gothic"/>
              </w:rPr>
              <w:t>Prevention Subgroup/PPA Comms and Engagement Subgroup</w:t>
            </w:r>
          </w:p>
        </w:tc>
        <w:tc>
          <w:tcPr>
            <w:tcW w:w="5624" w:type="dxa"/>
            <w:tcBorders>
              <w:bottom w:val="single" w:sz="8" w:space="0" w:color="9F8AB9"/>
            </w:tcBorders>
            <w:shd w:val="clear" w:color="auto" w:fill="FFFFFF"/>
          </w:tcPr>
          <w:p w14:paraId="25A3CCAE" w14:textId="109D19DD" w:rsidR="00D147C5" w:rsidRDefault="00D147C5" w:rsidP="00D147C5">
            <w:pPr>
              <w:rPr>
                <w:rFonts w:ascii="Century Gothic" w:hAnsi="Century Gothic"/>
              </w:rPr>
            </w:pPr>
            <w:r w:rsidRPr="002F1E21">
              <w:rPr>
                <w:rFonts w:ascii="Century Gothic" w:hAnsi="Century Gothic"/>
              </w:rPr>
              <w:t>Clear up to date online guidance is in place regarding all services available to support families affected by VAWG and how to access them</w:t>
            </w:r>
          </w:p>
          <w:p w14:paraId="75F5E077" w14:textId="77777777" w:rsidR="00427655" w:rsidRPr="002F1E21" w:rsidRDefault="00427655" w:rsidP="00D147C5">
            <w:pPr>
              <w:rPr>
                <w:rFonts w:ascii="Century Gothic" w:hAnsi="Century Gothic"/>
              </w:rPr>
            </w:pPr>
          </w:p>
          <w:p w14:paraId="66AEC619" w14:textId="0503C1CE" w:rsidR="007E6D61" w:rsidRPr="002F1E21" w:rsidRDefault="00401BA6" w:rsidP="007E6D61">
            <w:pPr>
              <w:rPr>
                <w:rFonts w:ascii="Century Gothic" w:hAnsi="Century Gothic" w:cs="Proxima Nova"/>
              </w:rPr>
            </w:pPr>
            <w:r w:rsidRPr="002F1E21">
              <w:rPr>
                <w:rFonts w:ascii="Century Gothic" w:hAnsi="Century Gothic" w:cs="Proxima Nova"/>
              </w:rPr>
              <w:t xml:space="preserve">There are wide ranging proactive engagement and communications which take place in the local community, including awareness raising </w:t>
            </w:r>
            <w:r w:rsidRPr="002F1E21">
              <w:rPr>
                <w:rFonts w:ascii="Century Gothic" w:hAnsi="Century Gothic" w:cs="Proxima Nova"/>
              </w:rPr>
              <w:lastRenderedPageBreak/>
              <w:t xml:space="preserve">campaigns in a range of mediums on a variety of VAWG issues </w:t>
            </w:r>
          </w:p>
          <w:p w14:paraId="5DEBEC2D" w14:textId="28DCC125" w:rsidR="00D147C5" w:rsidRPr="002F1E21" w:rsidRDefault="007E6D61" w:rsidP="00EB18DF">
            <w:pPr>
              <w:rPr>
                <w:rFonts w:ascii="Century Gothic" w:hAnsi="Century Gothic" w:cs="Proxima Nova"/>
              </w:rPr>
            </w:pPr>
            <w:r w:rsidRPr="002F1E21">
              <w:rPr>
                <w:rFonts w:ascii="Century Gothic" w:eastAsiaTheme="minorEastAsia" w:hAnsi="Century Gothic" w:cs="Proxima Nova"/>
                <w:lang w:eastAsia="en-GB"/>
              </w:rPr>
              <w:t>All local</w:t>
            </w:r>
            <w:r w:rsidR="00EB18DF" w:rsidRPr="002F1E21">
              <w:rPr>
                <w:rFonts w:ascii="Century Gothic" w:eastAsiaTheme="minorEastAsia" w:hAnsi="Century Gothic" w:cs="Proxima Nova"/>
                <w:lang w:eastAsia="en-GB"/>
              </w:rPr>
              <w:t xml:space="preserve"> PPA partnerships and other</w:t>
            </w:r>
            <w:r w:rsidRPr="002F1E21">
              <w:rPr>
                <w:rFonts w:ascii="Century Gothic" w:eastAsiaTheme="minorEastAsia" w:hAnsi="Century Gothic" w:cs="Proxima Nova"/>
                <w:lang w:eastAsia="en-GB"/>
              </w:rPr>
              <w:t xml:space="preserve"> equality groups are regularly consulted to ensure they are aware of the VAWG agenda</w:t>
            </w:r>
            <w:r w:rsidRPr="002F1E21">
              <w:rPr>
                <w:rFonts w:ascii="Century Gothic" w:hAnsi="Century Gothic" w:cs="Proxima Nova"/>
              </w:rPr>
              <w:t xml:space="preserve"> </w:t>
            </w:r>
          </w:p>
        </w:tc>
        <w:tc>
          <w:tcPr>
            <w:tcW w:w="2372" w:type="dxa"/>
            <w:tcBorders>
              <w:bottom w:val="single" w:sz="8" w:space="0" w:color="9F8AB9"/>
            </w:tcBorders>
            <w:shd w:val="clear" w:color="auto" w:fill="FFFFFF"/>
          </w:tcPr>
          <w:p w14:paraId="3ED066FE" w14:textId="49D84AAC" w:rsidR="00D147C5" w:rsidRPr="002F1E21" w:rsidRDefault="00D147C5" w:rsidP="00A67D91">
            <w:pPr>
              <w:rPr>
                <w:rFonts w:ascii="Century Gothic" w:hAnsi="Century Gothic"/>
              </w:rPr>
            </w:pPr>
          </w:p>
        </w:tc>
      </w:tr>
      <w:tr w:rsidR="002F1E21" w:rsidRPr="002F1E21" w14:paraId="7B535F11"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Pr>
        <w:tc>
          <w:tcPr>
            <w:tcW w:w="1013" w:type="dxa"/>
            <w:tcBorders>
              <w:right w:val="single" w:sz="4" w:space="0" w:color="auto"/>
            </w:tcBorders>
            <w:shd w:val="clear" w:color="auto" w:fill="FFFFFF"/>
          </w:tcPr>
          <w:p w14:paraId="5467E91E" w14:textId="2E02FFA9" w:rsidR="00D147C5" w:rsidRPr="002F1E21" w:rsidRDefault="008F33AB" w:rsidP="008F33AB">
            <w:pPr>
              <w:jc w:val="center"/>
              <w:rPr>
                <w:rFonts w:ascii="Century Gothic" w:hAnsi="Century Gothic"/>
                <w:b/>
                <w:bCs/>
              </w:rPr>
            </w:pPr>
            <w:r w:rsidRPr="002F1E21">
              <w:rPr>
                <w:rFonts w:ascii="Century Gothic" w:hAnsi="Century Gothic"/>
                <w:b/>
                <w:bCs/>
              </w:rPr>
              <w:t>1,2 3</w:t>
            </w:r>
          </w:p>
        </w:tc>
        <w:tc>
          <w:tcPr>
            <w:tcW w:w="563" w:type="dxa"/>
            <w:tcBorders>
              <w:left w:val="single" w:sz="4" w:space="0" w:color="auto"/>
            </w:tcBorders>
            <w:shd w:val="clear" w:color="auto" w:fill="FFFFFF"/>
          </w:tcPr>
          <w:p w14:paraId="73972680" w14:textId="792DE4C6" w:rsidR="00D147C5" w:rsidRPr="002F1E21" w:rsidRDefault="00D147C5" w:rsidP="00D147C5">
            <w:pPr>
              <w:rPr>
                <w:rFonts w:ascii="Century Gothic" w:hAnsi="Century Gothic"/>
                <w:b/>
                <w:bCs/>
              </w:rPr>
            </w:pPr>
            <w:r w:rsidRPr="002F1E21">
              <w:rPr>
                <w:rFonts w:ascii="Century Gothic" w:hAnsi="Century Gothic"/>
                <w:b/>
                <w:bCs/>
              </w:rPr>
              <w:t>1.3</w:t>
            </w:r>
          </w:p>
        </w:tc>
        <w:tc>
          <w:tcPr>
            <w:tcW w:w="4197" w:type="dxa"/>
            <w:shd w:val="clear" w:color="auto" w:fill="FFFFFF"/>
          </w:tcPr>
          <w:p w14:paraId="79439B78" w14:textId="182E9793" w:rsidR="006F1A74" w:rsidRPr="002F1E21" w:rsidRDefault="00EB18DF" w:rsidP="006F1A74">
            <w:pPr>
              <w:spacing w:after="0"/>
              <w:rPr>
                <w:rFonts w:ascii="Century Gothic" w:hAnsi="Century Gothic"/>
              </w:rPr>
            </w:pPr>
            <w:r w:rsidRPr="002F1E21">
              <w:rPr>
                <w:rFonts w:ascii="Century Gothic" w:hAnsi="Century Gothic"/>
              </w:rPr>
              <w:t>To ensure c</w:t>
            </w:r>
            <w:r w:rsidR="00D147C5" w:rsidRPr="002F1E21">
              <w:rPr>
                <w:rFonts w:ascii="Century Gothic" w:hAnsi="Century Gothic"/>
              </w:rPr>
              <w:t>hildren and Young People</w:t>
            </w:r>
            <w:r w:rsidR="00401BA6" w:rsidRPr="002F1E21">
              <w:rPr>
                <w:rFonts w:ascii="Century Gothic" w:hAnsi="Century Gothic"/>
              </w:rPr>
              <w:t xml:space="preserve"> develop an understanding of healthy relationships at an early age</w:t>
            </w:r>
            <w:r w:rsidR="006F1A74" w:rsidRPr="002F1E21">
              <w:rPr>
                <w:rFonts w:ascii="Century Gothic" w:hAnsi="Century Gothic"/>
              </w:rPr>
              <w:t xml:space="preserve"> </w:t>
            </w:r>
          </w:p>
          <w:p w14:paraId="510A5EB0" w14:textId="77777777" w:rsidR="006F1A74" w:rsidRPr="002F1E21" w:rsidRDefault="006F1A74" w:rsidP="006F1A74">
            <w:pPr>
              <w:spacing w:after="0"/>
              <w:rPr>
                <w:rFonts w:ascii="Century Gothic" w:hAnsi="Century Gothic"/>
              </w:rPr>
            </w:pPr>
          </w:p>
          <w:p w14:paraId="18E5C8F9" w14:textId="31B03C69" w:rsidR="006F1A74" w:rsidRPr="002F1E21" w:rsidRDefault="006F1A74" w:rsidP="006F1A74">
            <w:pPr>
              <w:spacing w:after="0"/>
              <w:rPr>
                <w:rFonts w:ascii="Century Gothic" w:hAnsi="Century Gothic"/>
              </w:rPr>
            </w:pPr>
            <w:r w:rsidRPr="002F1E21">
              <w:rPr>
                <w:rFonts w:ascii="Century Gothic" w:hAnsi="Century Gothic"/>
              </w:rPr>
              <w:t>Relevant partners work together to take a whole school approach to tackling VAWG</w:t>
            </w:r>
          </w:p>
          <w:p w14:paraId="3167036F" w14:textId="425BBC44" w:rsidR="00D147C5" w:rsidRPr="002F1E21" w:rsidRDefault="00D147C5" w:rsidP="00D147C5">
            <w:pPr>
              <w:rPr>
                <w:rFonts w:ascii="Century Gothic" w:hAnsi="Century Gothic"/>
              </w:rPr>
            </w:pPr>
          </w:p>
        </w:tc>
        <w:tc>
          <w:tcPr>
            <w:tcW w:w="1952" w:type="dxa"/>
            <w:gridSpan w:val="2"/>
            <w:shd w:val="clear" w:color="auto" w:fill="FFFFFF"/>
          </w:tcPr>
          <w:p w14:paraId="3CDAA7B4" w14:textId="27D7DAA0" w:rsidR="00D147C5" w:rsidRPr="002F1E21" w:rsidRDefault="002F6086" w:rsidP="00D147C5">
            <w:pPr>
              <w:rPr>
                <w:rFonts w:ascii="Century Gothic" w:hAnsi="Century Gothic"/>
              </w:rPr>
            </w:pPr>
            <w:r w:rsidRPr="002F1E21">
              <w:rPr>
                <w:rFonts w:ascii="Century Gothic" w:hAnsi="Century Gothic"/>
              </w:rPr>
              <w:t>Prevention Subgroup</w:t>
            </w:r>
          </w:p>
          <w:p w14:paraId="2B60710B" w14:textId="77777777" w:rsidR="00D147C5" w:rsidRPr="002F1E21" w:rsidRDefault="00D147C5" w:rsidP="00D147C5">
            <w:pPr>
              <w:rPr>
                <w:rFonts w:ascii="Century Gothic" w:hAnsi="Century Gothic"/>
              </w:rPr>
            </w:pPr>
          </w:p>
          <w:p w14:paraId="2DDD85DE" w14:textId="77777777" w:rsidR="00D147C5" w:rsidRPr="002F1E21" w:rsidRDefault="00D147C5" w:rsidP="00D147C5">
            <w:pPr>
              <w:rPr>
                <w:rFonts w:ascii="Century Gothic" w:hAnsi="Century Gothic"/>
              </w:rPr>
            </w:pPr>
          </w:p>
          <w:p w14:paraId="26656B71" w14:textId="77777777" w:rsidR="00D147C5" w:rsidRPr="002F1E21" w:rsidRDefault="00D147C5" w:rsidP="00D147C5">
            <w:pPr>
              <w:rPr>
                <w:rFonts w:ascii="Century Gothic" w:hAnsi="Century Gothic"/>
              </w:rPr>
            </w:pPr>
          </w:p>
          <w:p w14:paraId="1BD7A711" w14:textId="77777777" w:rsidR="00D147C5" w:rsidRPr="002F1E21" w:rsidRDefault="00D147C5" w:rsidP="00D147C5">
            <w:pPr>
              <w:rPr>
                <w:rFonts w:ascii="Century Gothic" w:hAnsi="Century Gothic"/>
              </w:rPr>
            </w:pPr>
          </w:p>
          <w:p w14:paraId="3B3108EC" w14:textId="77777777" w:rsidR="00D147C5" w:rsidRPr="002F1E21" w:rsidRDefault="00D147C5" w:rsidP="00D147C5">
            <w:pPr>
              <w:rPr>
                <w:rFonts w:ascii="Century Gothic" w:hAnsi="Century Gothic"/>
              </w:rPr>
            </w:pPr>
          </w:p>
          <w:p w14:paraId="63302617" w14:textId="77777777" w:rsidR="00D147C5" w:rsidRPr="002F1E21" w:rsidRDefault="00D147C5" w:rsidP="00D147C5">
            <w:pPr>
              <w:rPr>
                <w:rFonts w:ascii="Century Gothic" w:hAnsi="Century Gothic"/>
              </w:rPr>
            </w:pPr>
          </w:p>
          <w:p w14:paraId="493230D3" w14:textId="77777777" w:rsidR="00D147C5" w:rsidRPr="002F1E21" w:rsidRDefault="00D147C5" w:rsidP="00D147C5">
            <w:pPr>
              <w:rPr>
                <w:rFonts w:ascii="Century Gothic" w:hAnsi="Century Gothic"/>
              </w:rPr>
            </w:pPr>
          </w:p>
          <w:p w14:paraId="2587DAC8" w14:textId="6CA6BFC4" w:rsidR="00D147C5" w:rsidRPr="002F1E21" w:rsidRDefault="00D147C5" w:rsidP="00D147C5">
            <w:pPr>
              <w:rPr>
                <w:rFonts w:ascii="Century Gothic" w:hAnsi="Century Gothic"/>
              </w:rPr>
            </w:pPr>
          </w:p>
        </w:tc>
        <w:tc>
          <w:tcPr>
            <w:tcW w:w="5624" w:type="dxa"/>
            <w:shd w:val="clear" w:color="auto" w:fill="FFFFFF"/>
          </w:tcPr>
          <w:p w14:paraId="05B2FB18" w14:textId="5C95A94D" w:rsidR="00D147C5" w:rsidRPr="002F1E21" w:rsidRDefault="00D147C5" w:rsidP="00D147C5">
            <w:pPr>
              <w:rPr>
                <w:rFonts w:ascii="Century Gothic" w:hAnsi="Century Gothic"/>
              </w:rPr>
            </w:pPr>
            <w:r w:rsidRPr="002F1E21">
              <w:rPr>
                <w:rFonts w:ascii="Century Gothic" w:hAnsi="Century Gothic"/>
              </w:rPr>
              <w:t>A variety of youth work organisations are regularly delivering VAWG relevant interventions to a significant proportion of young people</w:t>
            </w:r>
            <w:r w:rsidR="000607BA" w:rsidRPr="002F1E21">
              <w:rPr>
                <w:rFonts w:ascii="Century Gothic" w:hAnsi="Century Gothic"/>
              </w:rPr>
              <w:t xml:space="preserve"> to raise awareness of VAWP and the importance of positive, healthy relationships</w:t>
            </w:r>
          </w:p>
          <w:p w14:paraId="69AC221A" w14:textId="4838F38E" w:rsidR="00D147C5" w:rsidRDefault="00D147C5" w:rsidP="00D147C5">
            <w:pPr>
              <w:spacing w:after="0"/>
              <w:rPr>
                <w:rFonts w:ascii="Century Gothic" w:hAnsi="Century Gothic"/>
              </w:rPr>
            </w:pPr>
            <w:r w:rsidRPr="002F1E21">
              <w:rPr>
                <w:rFonts w:ascii="Century Gothic" w:hAnsi="Century Gothic"/>
              </w:rPr>
              <w:t xml:space="preserve">There is </w:t>
            </w:r>
            <w:r w:rsidR="00691D99" w:rsidRPr="002F1E21">
              <w:rPr>
                <w:rFonts w:ascii="Century Gothic" w:hAnsi="Century Gothic"/>
              </w:rPr>
              <w:t>a base level of</w:t>
            </w:r>
            <w:r w:rsidRPr="002F1E21">
              <w:rPr>
                <w:rFonts w:ascii="Century Gothic" w:hAnsi="Century Gothic"/>
              </w:rPr>
              <w:t xml:space="preserve"> programme</w:t>
            </w:r>
            <w:r w:rsidR="00691D99" w:rsidRPr="002F1E21">
              <w:rPr>
                <w:rFonts w:ascii="Century Gothic" w:hAnsi="Century Gothic"/>
              </w:rPr>
              <w:t xml:space="preserve"> delivery, supplemented by additional delivery to take account of local need,</w:t>
            </w:r>
            <w:r w:rsidRPr="002F1E21">
              <w:rPr>
                <w:rFonts w:ascii="Century Gothic" w:hAnsi="Century Gothic"/>
              </w:rPr>
              <w:t xml:space="preserve"> delivered to children and young people across Angus</w:t>
            </w:r>
          </w:p>
          <w:p w14:paraId="4BE45FBC" w14:textId="13397E46" w:rsidR="00427655" w:rsidRDefault="00427655" w:rsidP="00D147C5">
            <w:pPr>
              <w:spacing w:after="0"/>
              <w:rPr>
                <w:rFonts w:ascii="Century Gothic" w:hAnsi="Century Gothic"/>
              </w:rPr>
            </w:pPr>
          </w:p>
          <w:p w14:paraId="1FAE0824" w14:textId="727B1635" w:rsidR="00427655" w:rsidRDefault="00427655" w:rsidP="00D147C5">
            <w:pPr>
              <w:spacing w:after="0"/>
              <w:rPr>
                <w:rFonts w:ascii="Century Gothic" w:hAnsi="Century Gothic"/>
              </w:rPr>
            </w:pPr>
          </w:p>
          <w:p w14:paraId="0BA525E0" w14:textId="4E36E8E4" w:rsidR="00D147C5" w:rsidRPr="002F1E21" w:rsidRDefault="00D147C5" w:rsidP="00D147C5">
            <w:pPr>
              <w:spacing w:after="0"/>
              <w:rPr>
                <w:rFonts w:ascii="Century Gothic" w:hAnsi="Century Gothic"/>
              </w:rPr>
            </w:pPr>
          </w:p>
          <w:p w14:paraId="2B915EF4" w14:textId="0275E790" w:rsidR="00401BA6" w:rsidRPr="002F1E21" w:rsidRDefault="00401BA6" w:rsidP="00D147C5">
            <w:pPr>
              <w:spacing w:after="0"/>
              <w:rPr>
                <w:rFonts w:ascii="Century Gothic" w:hAnsi="Century Gothic"/>
              </w:rPr>
            </w:pPr>
            <w:r w:rsidRPr="002F1E21">
              <w:rPr>
                <w:rFonts w:ascii="Century Gothic" w:hAnsi="Century Gothic"/>
              </w:rPr>
              <w:t>Processes are in place to engage with primary and secondary school</w:t>
            </w:r>
            <w:r w:rsidR="000607BA" w:rsidRPr="002F1E21">
              <w:rPr>
                <w:rFonts w:ascii="Century Gothic" w:hAnsi="Century Gothic"/>
              </w:rPr>
              <w:t>s to help ensure</w:t>
            </w:r>
            <w:r w:rsidR="006F1A74" w:rsidRPr="002F1E21">
              <w:rPr>
                <w:rFonts w:ascii="Century Gothic" w:hAnsi="Century Gothic"/>
              </w:rPr>
              <w:t xml:space="preserve"> </w:t>
            </w:r>
            <w:r w:rsidR="000607BA" w:rsidRPr="002F1E21">
              <w:rPr>
                <w:rFonts w:ascii="Century Gothic" w:hAnsi="Century Gothic"/>
              </w:rPr>
              <w:t xml:space="preserve">the delivery of </w:t>
            </w:r>
            <w:r w:rsidR="00AF39BA" w:rsidRPr="002F1E21">
              <w:rPr>
                <w:rFonts w:ascii="Century Gothic" w:hAnsi="Century Gothic"/>
              </w:rPr>
              <w:t>age-appropriate</w:t>
            </w:r>
            <w:r w:rsidR="000607BA" w:rsidRPr="002F1E21">
              <w:rPr>
                <w:rFonts w:ascii="Century Gothic" w:hAnsi="Century Gothic"/>
              </w:rPr>
              <w:t xml:space="preserve"> </w:t>
            </w:r>
            <w:proofErr w:type="gramStart"/>
            <w:r w:rsidR="000607BA" w:rsidRPr="002F1E21">
              <w:rPr>
                <w:rFonts w:ascii="Century Gothic" w:hAnsi="Century Gothic"/>
              </w:rPr>
              <w:t>evidence based</w:t>
            </w:r>
            <w:proofErr w:type="gramEnd"/>
            <w:r w:rsidR="000607BA" w:rsidRPr="002F1E21">
              <w:rPr>
                <w:rFonts w:ascii="Century Gothic" w:hAnsi="Century Gothic"/>
              </w:rPr>
              <w:t xml:space="preserve"> </w:t>
            </w:r>
            <w:r w:rsidR="006F1A74" w:rsidRPr="002F1E21">
              <w:rPr>
                <w:rFonts w:ascii="Century Gothic" w:hAnsi="Century Gothic"/>
              </w:rPr>
              <w:t>interventions</w:t>
            </w:r>
            <w:r w:rsidR="000607BA" w:rsidRPr="002F1E21">
              <w:rPr>
                <w:rFonts w:ascii="Century Gothic" w:hAnsi="Century Gothic"/>
              </w:rPr>
              <w:t xml:space="preserve"> to raise children, teachers and parent understanding and awareness of GBV, positive health relationships and consent </w:t>
            </w:r>
          </w:p>
          <w:p w14:paraId="58818AAA" w14:textId="77777777" w:rsidR="00427655" w:rsidRPr="002F1E21" w:rsidRDefault="00427655" w:rsidP="00D147C5">
            <w:pPr>
              <w:spacing w:after="0"/>
              <w:rPr>
                <w:rFonts w:ascii="Century Gothic" w:hAnsi="Century Gothic"/>
              </w:rPr>
            </w:pPr>
          </w:p>
          <w:p w14:paraId="23A084D1" w14:textId="343C548C" w:rsidR="00D147C5" w:rsidRPr="002F1E21" w:rsidRDefault="00401BA6" w:rsidP="00D147C5">
            <w:pPr>
              <w:rPr>
                <w:rFonts w:ascii="Century Gothic" w:hAnsi="Century Gothic"/>
              </w:rPr>
            </w:pPr>
            <w:r w:rsidRPr="002F1E21">
              <w:rPr>
                <w:rFonts w:ascii="Century Gothic" w:hAnsi="Century Gothic"/>
              </w:rPr>
              <w:t xml:space="preserve">Processes are in place to engage with local colleges and universities </w:t>
            </w:r>
            <w:r w:rsidR="000607BA" w:rsidRPr="002F1E21">
              <w:rPr>
                <w:rFonts w:ascii="Century Gothic" w:hAnsi="Century Gothic"/>
              </w:rPr>
              <w:t xml:space="preserve">to identify opportunities </w:t>
            </w:r>
            <w:r w:rsidR="000607BA" w:rsidRPr="002F1E21">
              <w:rPr>
                <w:rFonts w:ascii="Century Gothic" w:hAnsi="Century Gothic"/>
              </w:rPr>
              <w:lastRenderedPageBreak/>
              <w:t>for partnership working to prevent GBV on campuses</w:t>
            </w:r>
          </w:p>
        </w:tc>
        <w:tc>
          <w:tcPr>
            <w:tcW w:w="2372" w:type="dxa"/>
            <w:shd w:val="clear" w:color="auto" w:fill="FFFFFF"/>
          </w:tcPr>
          <w:p w14:paraId="601406BD" w14:textId="04FC8CC2" w:rsidR="00D147C5" w:rsidRPr="002F1E21" w:rsidRDefault="00427655" w:rsidP="006D7A2F">
            <w:pPr>
              <w:rPr>
                <w:rFonts w:ascii="Century Gothic" w:hAnsi="Century Gothic"/>
                <w:b/>
              </w:rPr>
            </w:pPr>
            <w:r w:rsidRPr="00427655">
              <w:rPr>
                <w:rFonts w:ascii="Century Gothic" w:hAnsi="Century Gothic"/>
                <w:bCs/>
              </w:rPr>
              <w:lastRenderedPageBreak/>
              <w:t xml:space="preserve"> </w:t>
            </w:r>
          </w:p>
        </w:tc>
      </w:tr>
      <w:tr w:rsidR="002F1E21" w:rsidRPr="002F1E21" w14:paraId="4294D128"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Pr>
        <w:tc>
          <w:tcPr>
            <w:tcW w:w="1013" w:type="dxa"/>
            <w:tcBorders>
              <w:right w:val="single" w:sz="4" w:space="0" w:color="auto"/>
            </w:tcBorders>
            <w:shd w:val="clear" w:color="auto" w:fill="FFFFFF"/>
          </w:tcPr>
          <w:p w14:paraId="6E781BFE" w14:textId="4416B7E2" w:rsidR="00401BA6" w:rsidRPr="002F1E21" w:rsidRDefault="008F33AB" w:rsidP="008F33AB">
            <w:pPr>
              <w:jc w:val="center"/>
              <w:rPr>
                <w:rFonts w:ascii="Century Gothic" w:hAnsi="Century Gothic"/>
                <w:b/>
                <w:bCs/>
              </w:rPr>
            </w:pPr>
            <w:r w:rsidRPr="002F1E21">
              <w:rPr>
                <w:rFonts w:ascii="Century Gothic" w:hAnsi="Century Gothic"/>
                <w:b/>
                <w:bCs/>
              </w:rPr>
              <w:lastRenderedPageBreak/>
              <w:t>4</w:t>
            </w:r>
          </w:p>
        </w:tc>
        <w:tc>
          <w:tcPr>
            <w:tcW w:w="563" w:type="dxa"/>
            <w:tcBorders>
              <w:left w:val="single" w:sz="4" w:space="0" w:color="auto"/>
            </w:tcBorders>
            <w:shd w:val="clear" w:color="auto" w:fill="FFFFFF"/>
          </w:tcPr>
          <w:p w14:paraId="10D6DF1B" w14:textId="1D8EBF08" w:rsidR="00401BA6" w:rsidRPr="002F1E21" w:rsidRDefault="00EB18DF" w:rsidP="00D147C5">
            <w:pPr>
              <w:rPr>
                <w:rFonts w:ascii="Century Gothic" w:hAnsi="Century Gothic"/>
                <w:b/>
                <w:bCs/>
              </w:rPr>
            </w:pPr>
            <w:r w:rsidRPr="002F1E21">
              <w:rPr>
                <w:rFonts w:ascii="Century Gothic" w:hAnsi="Century Gothic"/>
                <w:b/>
                <w:bCs/>
              </w:rPr>
              <w:t>1.4</w:t>
            </w:r>
          </w:p>
        </w:tc>
        <w:tc>
          <w:tcPr>
            <w:tcW w:w="4197" w:type="dxa"/>
            <w:shd w:val="clear" w:color="auto" w:fill="FFFFFF"/>
          </w:tcPr>
          <w:p w14:paraId="1E39BDCB" w14:textId="0AAD14DD" w:rsidR="00401BA6" w:rsidRPr="002F1E21" w:rsidRDefault="00EB18DF" w:rsidP="00D147C5">
            <w:pPr>
              <w:rPr>
                <w:rFonts w:ascii="Century Gothic" w:hAnsi="Century Gothic"/>
              </w:rPr>
            </w:pPr>
            <w:r w:rsidRPr="002F1E21">
              <w:rPr>
                <w:rFonts w:ascii="Century Gothic" w:hAnsi="Century Gothic"/>
              </w:rPr>
              <w:t>An effective strategy to engage with men and boys is in place</w:t>
            </w:r>
          </w:p>
        </w:tc>
        <w:tc>
          <w:tcPr>
            <w:tcW w:w="1952" w:type="dxa"/>
            <w:gridSpan w:val="2"/>
            <w:shd w:val="clear" w:color="auto" w:fill="FFFFFF"/>
          </w:tcPr>
          <w:p w14:paraId="2832C3F4" w14:textId="0DC492F4" w:rsidR="00401BA6" w:rsidRPr="002F1E21" w:rsidRDefault="002F6086" w:rsidP="00D147C5">
            <w:pPr>
              <w:rPr>
                <w:rFonts w:ascii="Century Gothic" w:hAnsi="Century Gothic"/>
              </w:rPr>
            </w:pPr>
            <w:r w:rsidRPr="002F1E21">
              <w:rPr>
                <w:rFonts w:ascii="Century Gothic" w:hAnsi="Century Gothic"/>
              </w:rPr>
              <w:t>Prevention Subgroup</w:t>
            </w:r>
          </w:p>
        </w:tc>
        <w:tc>
          <w:tcPr>
            <w:tcW w:w="5624" w:type="dxa"/>
            <w:shd w:val="clear" w:color="auto" w:fill="FFFFFF"/>
          </w:tcPr>
          <w:p w14:paraId="5E861F9D" w14:textId="29D6E10F" w:rsidR="00EB18DF" w:rsidRPr="002F1E21" w:rsidRDefault="00EB18DF" w:rsidP="007E6D61">
            <w:pPr>
              <w:rPr>
                <w:rFonts w:ascii="Century Gothic" w:hAnsi="Century Gothic"/>
              </w:rPr>
            </w:pPr>
            <w:r w:rsidRPr="002F1E21">
              <w:rPr>
                <w:rFonts w:ascii="Century Gothic" w:hAnsi="Century Gothic"/>
              </w:rPr>
              <w:t>Strategy is developed identifying priority actions and activity which will be delivered</w:t>
            </w:r>
            <w:r w:rsidR="00691D99" w:rsidRPr="002F1E21">
              <w:rPr>
                <w:rFonts w:ascii="Century Gothic" w:hAnsi="Century Gothic"/>
              </w:rPr>
              <w:t xml:space="preserve"> to address gender stereotypes, </w:t>
            </w:r>
            <w:proofErr w:type="gramStart"/>
            <w:r w:rsidR="00691D99" w:rsidRPr="002F1E21">
              <w:rPr>
                <w:rFonts w:ascii="Century Gothic" w:hAnsi="Century Gothic"/>
              </w:rPr>
              <w:t>bias</w:t>
            </w:r>
            <w:proofErr w:type="gramEnd"/>
            <w:r w:rsidR="00691D99" w:rsidRPr="002F1E21">
              <w:rPr>
                <w:rFonts w:ascii="Century Gothic" w:hAnsi="Century Gothic"/>
              </w:rPr>
              <w:t xml:space="preserve"> and</w:t>
            </w:r>
            <w:r w:rsidR="00691D99" w:rsidRPr="002F1E21">
              <w:rPr>
                <w:rFonts w:ascii="Century Gothic" w:hAnsi="Century Gothic"/>
                <w:sz w:val="24"/>
                <w:szCs w:val="24"/>
              </w:rPr>
              <w:t xml:space="preserve"> </w:t>
            </w:r>
            <w:r w:rsidR="00691D99" w:rsidRPr="002F1E21">
              <w:rPr>
                <w:rFonts w:ascii="Century Gothic" w:hAnsi="Century Gothic"/>
              </w:rPr>
              <w:t>inequality</w:t>
            </w:r>
            <w:r w:rsidRPr="002F1E21">
              <w:rPr>
                <w:rFonts w:ascii="Century Gothic" w:hAnsi="Century Gothic"/>
              </w:rPr>
              <w:t>.  This will include as a minimum a SLWG to progress White Ribbon and any other appropriate similar initiatives and activities.</w:t>
            </w:r>
          </w:p>
          <w:p w14:paraId="3E942BC0" w14:textId="7A88B757" w:rsidR="00401BA6" w:rsidRPr="002F1E21" w:rsidRDefault="007E6D61" w:rsidP="007E6D61">
            <w:pPr>
              <w:rPr>
                <w:rFonts w:ascii="Century Gothic" w:hAnsi="Century Gothic"/>
              </w:rPr>
            </w:pPr>
            <w:r w:rsidRPr="002F1E21">
              <w:rPr>
                <w:rFonts w:ascii="Century Gothic" w:hAnsi="Century Gothic"/>
              </w:rPr>
              <w:t xml:space="preserve">High-quality, evidence-based </w:t>
            </w:r>
            <w:proofErr w:type="gramStart"/>
            <w:r w:rsidRPr="002F1E21">
              <w:rPr>
                <w:rFonts w:ascii="Century Gothic" w:hAnsi="Century Gothic"/>
              </w:rPr>
              <w:t>non court</w:t>
            </w:r>
            <w:proofErr w:type="gramEnd"/>
            <w:r w:rsidRPr="002F1E21">
              <w:rPr>
                <w:rFonts w:ascii="Century Gothic" w:hAnsi="Century Gothic"/>
              </w:rPr>
              <w:t>-mandated programmes are in place at a local level that work with perpetrators of VAWG to hold them to account for and support them to change the behaviour</w:t>
            </w:r>
          </w:p>
        </w:tc>
        <w:tc>
          <w:tcPr>
            <w:tcW w:w="2372" w:type="dxa"/>
            <w:shd w:val="clear" w:color="auto" w:fill="FFFFFF"/>
          </w:tcPr>
          <w:p w14:paraId="555F42DC" w14:textId="67B09DFB" w:rsidR="00DE7F32" w:rsidRPr="00DE7F32" w:rsidRDefault="00DE7F32" w:rsidP="00427655">
            <w:pPr>
              <w:rPr>
                <w:rFonts w:ascii="Century Gothic" w:hAnsi="Century Gothic"/>
              </w:rPr>
            </w:pPr>
          </w:p>
        </w:tc>
      </w:tr>
      <w:tr w:rsidR="002F1E21" w:rsidRPr="002F1E21" w14:paraId="3D1D3E23"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Pr>
        <w:tc>
          <w:tcPr>
            <w:tcW w:w="1013" w:type="dxa"/>
            <w:tcBorders>
              <w:right w:val="single" w:sz="4" w:space="0" w:color="auto"/>
            </w:tcBorders>
            <w:shd w:val="clear" w:color="auto" w:fill="FFFFFF"/>
          </w:tcPr>
          <w:p w14:paraId="44A4E106" w14:textId="3EE05AE0" w:rsidR="006F1A74" w:rsidRPr="002F1E21" w:rsidRDefault="008F33AB" w:rsidP="008F33AB">
            <w:pPr>
              <w:jc w:val="center"/>
              <w:rPr>
                <w:rFonts w:ascii="Century Gothic" w:hAnsi="Century Gothic"/>
                <w:b/>
                <w:bCs/>
              </w:rPr>
            </w:pPr>
            <w:r w:rsidRPr="002F1E21">
              <w:rPr>
                <w:rFonts w:ascii="Century Gothic" w:hAnsi="Century Gothic"/>
                <w:b/>
                <w:bCs/>
              </w:rPr>
              <w:t>3,4</w:t>
            </w:r>
          </w:p>
        </w:tc>
        <w:tc>
          <w:tcPr>
            <w:tcW w:w="563" w:type="dxa"/>
            <w:tcBorders>
              <w:left w:val="single" w:sz="4" w:space="0" w:color="auto"/>
            </w:tcBorders>
            <w:shd w:val="clear" w:color="auto" w:fill="FFFFFF"/>
          </w:tcPr>
          <w:p w14:paraId="04598B09" w14:textId="535A1330" w:rsidR="006F1A74" w:rsidRPr="002F1E21" w:rsidRDefault="00EB18DF" w:rsidP="00D147C5">
            <w:pPr>
              <w:rPr>
                <w:rFonts w:ascii="Century Gothic" w:hAnsi="Century Gothic"/>
                <w:b/>
                <w:bCs/>
              </w:rPr>
            </w:pPr>
            <w:r w:rsidRPr="002F1E21">
              <w:rPr>
                <w:rFonts w:ascii="Century Gothic" w:hAnsi="Century Gothic"/>
                <w:b/>
                <w:bCs/>
              </w:rPr>
              <w:t>1.5</w:t>
            </w:r>
          </w:p>
        </w:tc>
        <w:tc>
          <w:tcPr>
            <w:tcW w:w="4197" w:type="dxa"/>
            <w:shd w:val="clear" w:color="auto" w:fill="FFFFFF"/>
          </w:tcPr>
          <w:p w14:paraId="7A37824D" w14:textId="331FBEE4" w:rsidR="006F1A74" w:rsidRPr="002F1E21" w:rsidRDefault="00DC06A9" w:rsidP="004F43AA">
            <w:pPr>
              <w:rPr>
                <w:rFonts w:ascii="Century Gothic" w:eastAsiaTheme="minorEastAsia" w:hAnsi="Century Gothic" w:cs="Proxima Nova"/>
                <w:lang w:eastAsia="en-GB"/>
              </w:rPr>
            </w:pPr>
            <w:r w:rsidRPr="002F1E21">
              <w:rPr>
                <w:rFonts w:ascii="Century Gothic" w:eastAsiaTheme="minorEastAsia" w:hAnsi="Century Gothic" w:cs="Proxima Nova"/>
                <w:lang w:eastAsia="en-GB"/>
              </w:rPr>
              <w:t>In partnership with Angus Adult Protection Committee, w</w:t>
            </w:r>
            <w:r w:rsidR="009017C5" w:rsidRPr="002F1E21">
              <w:rPr>
                <w:rFonts w:ascii="Century Gothic" w:eastAsiaTheme="minorEastAsia" w:hAnsi="Century Gothic" w:cs="Proxima Nova"/>
                <w:lang w:eastAsia="en-GB"/>
              </w:rPr>
              <w:t>ork to ensure appropriate awareness of GBV and safeguarding of vulnerable adults</w:t>
            </w:r>
          </w:p>
        </w:tc>
        <w:tc>
          <w:tcPr>
            <w:tcW w:w="1952" w:type="dxa"/>
            <w:gridSpan w:val="2"/>
            <w:shd w:val="clear" w:color="auto" w:fill="FFFFFF"/>
          </w:tcPr>
          <w:p w14:paraId="2365A82B" w14:textId="77777777" w:rsidR="006F1A74" w:rsidRPr="002F1E21" w:rsidRDefault="00DC58C1" w:rsidP="00D147C5">
            <w:pPr>
              <w:rPr>
                <w:rFonts w:ascii="Century Gothic" w:hAnsi="Century Gothic"/>
              </w:rPr>
            </w:pPr>
            <w:r w:rsidRPr="002F1E21">
              <w:rPr>
                <w:rFonts w:ascii="Century Gothic" w:hAnsi="Century Gothic"/>
              </w:rPr>
              <w:t>Independent Chair</w:t>
            </w:r>
          </w:p>
          <w:p w14:paraId="3E8EC05B" w14:textId="2B42AA1E" w:rsidR="00DC58C1" w:rsidRPr="002F1E21" w:rsidRDefault="00DC58C1" w:rsidP="00D147C5">
            <w:pPr>
              <w:rPr>
                <w:rFonts w:ascii="Century Gothic" w:hAnsi="Century Gothic"/>
              </w:rPr>
            </w:pPr>
            <w:r w:rsidRPr="002F1E21">
              <w:rPr>
                <w:rFonts w:ascii="Century Gothic" w:hAnsi="Century Gothic"/>
              </w:rPr>
              <w:t>PPA Comms &amp; Engagement Subgroup</w:t>
            </w:r>
          </w:p>
        </w:tc>
        <w:tc>
          <w:tcPr>
            <w:tcW w:w="5624" w:type="dxa"/>
            <w:shd w:val="clear" w:color="auto" w:fill="FFFFFF"/>
          </w:tcPr>
          <w:p w14:paraId="05762A9E" w14:textId="63EAED71" w:rsidR="006F1A74" w:rsidRPr="002F1E21" w:rsidRDefault="009017C5" w:rsidP="004F43AA">
            <w:pPr>
              <w:rPr>
                <w:rFonts w:ascii="Century Gothic" w:hAnsi="Century Gothic"/>
              </w:rPr>
            </w:pPr>
            <w:r w:rsidRPr="002F1E21">
              <w:rPr>
                <w:rFonts w:ascii="Century Gothic" w:hAnsi="Century Gothic"/>
              </w:rPr>
              <w:t xml:space="preserve">Awareness raising materials are available for </w:t>
            </w:r>
            <w:r w:rsidR="00DC06A9" w:rsidRPr="002F1E21">
              <w:rPr>
                <w:rFonts w:ascii="Century Gothic" w:hAnsi="Century Gothic"/>
              </w:rPr>
              <w:t xml:space="preserve">communities, </w:t>
            </w:r>
            <w:proofErr w:type="gramStart"/>
            <w:r w:rsidRPr="002F1E21">
              <w:rPr>
                <w:rFonts w:ascii="Century Gothic" w:hAnsi="Century Gothic"/>
              </w:rPr>
              <w:t>professionals</w:t>
            </w:r>
            <w:proofErr w:type="gramEnd"/>
            <w:r w:rsidRPr="002F1E21">
              <w:rPr>
                <w:rFonts w:ascii="Century Gothic" w:hAnsi="Century Gothic"/>
              </w:rPr>
              <w:t xml:space="preserve"> and vulnerable adults to ensure early identification and relevant input/support is provided</w:t>
            </w:r>
          </w:p>
        </w:tc>
        <w:tc>
          <w:tcPr>
            <w:tcW w:w="2372" w:type="dxa"/>
            <w:shd w:val="clear" w:color="auto" w:fill="FFFFFF"/>
          </w:tcPr>
          <w:p w14:paraId="214DB4C9" w14:textId="7DA9862A" w:rsidR="006F1A74" w:rsidRPr="00427655" w:rsidRDefault="006F1A74" w:rsidP="00D147C5">
            <w:pPr>
              <w:rPr>
                <w:rFonts w:ascii="Century Gothic" w:hAnsi="Century Gothic"/>
                <w:b/>
              </w:rPr>
            </w:pPr>
          </w:p>
        </w:tc>
      </w:tr>
      <w:tr w:rsidR="002F1E21" w:rsidRPr="002F1E21" w14:paraId="71371C9A"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Pr>
        <w:tc>
          <w:tcPr>
            <w:tcW w:w="1013" w:type="dxa"/>
            <w:tcBorders>
              <w:top w:val="single" w:sz="8" w:space="0" w:color="9F8AB9"/>
              <w:left w:val="single" w:sz="8" w:space="0" w:color="9F8AB9"/>
              <w:bottom w:val="single" w:sz="8" w:space="0" w:color="9F8AB9"/>
              <w:right w:val="single" w:sz="4" w:space="0" w:color="auto"/>
            </w:tcBorders>
            <w:shd w:val="clear" w:color="auto" w:fill="FFFFFF"/>
          </w:tcPr>
          <w:p w14:paraId="4DB1FE3B" w14:textId="400B08C2" w:rsidR="009017C5" w:rsidRPr="002F1E21" w:rsidRDefault="008F33AB" w:rsidP="008F33AB">
            <w:pPr>
              <w:jc w:val="center"/>
              <w:rPr>
                <w:rFonts w:ascii="Century Gothic" w:hAnsi="Century Gothic"/>
                <w:b/>
                <w:bCs/>
              </w:rPr>
            </w:pPr>
            <w:r w:rsidRPr="002F1E21">
              <w:rPr>
                <w:rFonts w:ascii="Century Gothic" w:hAnsi="Century Gothic"/>
                <w:b/>
                <w:bCs/>
              </w:rPr>
              <w:t>3</w:t>
            </w:r>
          </w:p>
        </w:tc>
        <w:tc>
          <w:tcPr>
            <w:tcW w:w="563" w:type="dxa"/>
            <w:tcBorders>
              <w:top w:val="single" w:sz="8" w:space="0" w:color="9F8AB9"/>
              <w:left w:val="single" w:sz="4" w:space="0" w:color="auto"/>
              <w:bottom w:val="single" w:sz="8" w:space="0" w:color="9F8AB9"/>
              <w:right w:val="single" w:sz="8" w:space="0" w:color="9F8AB9"/>
            </w:tcBorders>
            <w:shd w:val="clear" w:color="auto" w:fill="FFFFFF"/>
          </w:tcPr>
          <w:p w14:paraId="40730B94" w14:textId="36222C4F" w:rsidR="009017C5" w:rsidRPr="002F1E21" w:rsidRDefault="00AA604D" w:rsidP="00307866">
            <w:pPr>
              <w:rPr>
                <w:rFonts w:ascii="Century Gothic" w:hAnsi="Century Gothic"/>
                <w:b/>
                <w:bCs/>
              </w:rPr>
            </w:pPr>
            <w:r w:rsidRPr="002F1E21">
              <w:rPr>
                <w:rFonts w:ascii="Century Gothic" w:hAnsi="Century Gothic"/>
                <w:b/>
                <w:bCs/>
              </w:rPr>
              <w:t>1.6</w:t>
            </w:r>
          </w:p>
        </w:tc>
        <w:tc>
          <w:tcPr>
            <w:tcW w:w="4197" w:type="dxa"/>
            <w:tcBorders>
              <w:top w:val="single" w:sz="8" w:space="0" w:color="9F8AB9"/>
              <w:left w:val="single" w:sz="8" w:space="0" w:color="9F8AB9"/>
              <w:bottom w:val="single" w:sz="8" w:space="0" w:color="9F8AB9"/>
              <w:right w:val="single" w:sz="8" w:space="0" w:color="9F8AB9"/>
            </w:tcBorders>
            <w:shd w:val="clear" w:color="auto" w:fill="FFFFFF"/>
          </w:tcPr>
          <w:p w14:paraId="1890070F" w14:textId="6603C112" w:rsidR="009017C5" w:rsidRPr="002F1E21" w:rsidRDefault="009017C5" w:rsidP="00307866">
            <w:pPr>
              <w:rPr>
                <w:rFonts w:ascii="Century Gothic" w:eastAsiaTheme="minorEastAsia" w:hAnsi="Century Gothic" w:cs="Proxima Nova"/>
                <w:lang w:eastAsia="en-GB"/>
              </w:rPr>
            </w:pPr>
            <w:r w:rsidRPr="002F1E21">
              <w:rPr>
                <w:rFonts w:ascii="Century Gothic" w:eastAsiaTheme="minorEastAsia" w:hAnsi="Century Gothic" w:cs="Proxima Nova"/>
                <w:lang w:eastAsia="en-GB"/>
              </w:rPr>
              <w:t>Strategy is developed to meet the needs of women and children experiencing GBV</w:t>
            </w:r>
            <w:r w:rsidR="00AA604D" w:rsidRPr="002F1E21">
              <w:rPr>
                <w:rFonts w:ascii="Century Gothic" w:eastAsiaTheme="minorEastAsia" w:hAnsi="Century Gothic" w:cs="Proxima Nova"/>
                <w:lang w:eastAsia="en-GB"/>
              </w:rPr>
              <w:t xml:space="preserve"> </w:t>
            </w:r>
            <w:r w:rsidRPr="002F1E21">
              <w:rPr>
                <w:rFonts w:ascii="Century Gothic" w:eastAsiaTheme="minorEastAsia" w:hAnsi="Century Gothic" w:cs="Proxima Nova"/>
                <w:lang w:eastAsia="en-GB"/>
              </w:rPr>
              <w:t>and who also have complex needs.</w:t>
            </w:r>
            <w:r w:rsidR="00AA604D" w:rsidRPr="002F1E21">
              <w:rPr>
                <w:rFonts w:ascii="Century Gothic" w:eastAsiaTheme="minorEastAsia" w:hAnsi="Century Gothic" w:cs="Proxima Nova"/>
                <w:lang w:eastAsia="en-GB"/>
              </w:rPr>
              <w:t xml:space="preserve"> </w:t>
            </w:r>
            <w:r w:rsidRPr="002F1E21">
              <w:rPr>
                <w:rFonts w:ascii="Century Gothic" w:eastAsiaTheme="minorEastAsia" w:hAnsi="Century Gothic" w:cs="Proxima Nova"/>
                <w:lang w:eastAsia="en-GB"/>
              </w:rPr>
              <w:t xml:space="preserve">  </w:t>
            </w:r>
          </w:p>
        </w:tc>
        <w:tc>
          <w:tcPr>
            <w:tcW w:w="1952" w:type="dxa"/>
            <w:gridSpan w:val="2"/>
            <w:tcBorders>
              <w:top w:val="single" w:sz="8" w:space="0" w:color="9F8AB9"/>
              <w:left w:val="single" w:sz="8" w:space="0" w:color="9F8AB9"/>
              <w:bottom w:val="single" w:sz="8" w:space="0" w:color="9F8AB9"/>
              <w:right w:val="single" w:sz="8" w:space="0" w:color="9F8AB9"/>
            </w:tcBorders>
            <w:shd w:val="clear" w:color="auto" w:fill="FFFFFF"/>
          </w:tcPr>
          <w:p w14:paraId="686B7934" w14:textId="2E1721C7" w:rsidR="009017C5" w:rsidRPr="002F1E21" w:rsidRDefault="002F6086" w:rsidP="00307866">
            <w:pPr>
              <w:rPr>
                <w:rFonts w:ascii="Century Gothic" w:hAnsi="Century Gothic"/>
              </w:rPr>
            </w:pPr>
            <w:r w:rsidRPr="002F1E21">
              <w:rPr>
                <w:rFonts w:ascii="Century Gothic" w:hAnsi="Century Gothic"/>
              </w:rPr>
              <w:t>Prevention Subgroup</w:t>
            </w:r>
          </w:p>
        </w:tc>
        <w:tc>
          <w:tcPr>
            <w:tcW w:w="5624" w:type="dxa"/>
            <w:tcBorders>
              <w:top w:val="single" w:sz="8" w:space="0" w:color="9F8AB9"/>
              <w:left w:val="single" w:sz="8" w:space="0" w:color="9F8AB9"/>
              <w:bottom w:val="single" w:sz="8" w:space="0" w:color="9F8AB9"/>
              <w:right w:val="single" w:sz="8" w:space="0" w:color="9F8AB9"/>
            </w:tcBorders>
            <w:shd w:val="clear" w:color="auto" w:fill="FFFFFF"/>
          </w:tcPr>
          <w:p w14:paraId="37F36ACE" w14:textId="120B5490" w:rsidR="00AA604D" w:rsidRDefault="009017C5" w:rsidP="00307866">
            <w:pPr>
              <w:rPr>
                <w:rFonts w:ascii="Century Gothic" w:hAnsi="Century Gothic"/>
              </w:rPr>
            </w:pPr>
            <w:r w:rsidRPr="002F1E21">
              <w:rPr>
                <w:rFonts w:ascii="Century Gothic" w:hAnsi="Century Gothic"/>
              </w:rPr>
              <w:t xml:space="preserve">There </w:t>
            </w:r>
            <w:r w:rsidR="00AA604D" w:rsidRPr="002F1E21">
              <w:rPr>
                <w:rFonts w:ascii="Century Gothic" w:hAnsi="Century Gothic"/>
              </w:rPr>
              <w:t xml:space="preserve">are specific policies, service pathways and targeted </w:t>
            </w:r>
            <w:r w:rsidRPr="002F1E21">
              <w:rPr>
                <w:rFonts w:ascii="Century Gothic" w:hAnsi="Century Gothic"/>
              </w:rPr>
              <w:t>interventions in place for women and children who have complex needs</w:t>
            </w:r>
            <w:r w:rsidR="00AA604D" w:rsidRPr="002F1E21">
              <w:rPr>
                <w:rFonts w:ascii="Century Gothic" w:hAnsi="Century Gothic"/>
              </w:rPr>
              <w:t>.  Priorities have been identified as:</w:t>
            </w:r>
          </w:p>
          <w:p w14:paraId="57B7C32C" w14:textId="1B4DEBA4" w:rsidR="00DE7F32" w:rsidRPr="002F1E21" w:rsidRDefault="00DE7F32" w:rsidP="00307866">
            <w:pPr>
              <w:rPr>
                <w:rFonts w:ascii="Century Gothic" w:hAnsi="Century Gothic"/>
              </w:rPr>
            </w:pPr>
            <w:r>
              <w:rPr>
                <w:rFonts w:ascii="Century Gothic" w:hAnsi="Century Gothic"/>
              </w:rPr>
              <w:t>BSL Users</w:t>
            </w:r>
          </w:p>
          <w:p w14:paraId="5C772C5E" w14:textId="77777777" w:rsidR="00AA604D" w:rsidRPr="002F1E21" w:rsidRDefault="00AA604D" w:rsidP="00307866">
            <w:pPr>
              <w:rPr>
                <w:rFonts w:ascii="Century Gothic" w:hAnsi="Century Gothic"/>
              </w:rPr>
            </w:pPr>
            <w:r w:rsidRPr="002F1E21">
              <w:rPr>
                <w:rFonts w:ascii="Century Gothic" w:hAnsi="Century Gothic"/>
              </w:rPr>
              <w:lastRenderedPageBreak/>
              <w:t>Learning Disability</w:t>
            </w:r>
          </w:p>
          <w:p w14:paraId="5A46A297" w14:textId="0DDC1C58" w:rsidR="009017C5" w:rsidRPr="002F1E21" w:rsidRDefault="00AA604D" w:rsidP="00307866">
            <w:pPr>
              <w:rPr>
                <w:rFonts w:ascii="Century Gothic" w:hAnsi="Century Gothic"/>
              </w:rPr>
            </w:pPr>
            <w:r w:rsidRPr="002F1E21">
              <w:rPr>
                <w:rFonts w:ascii="Century Gothic" w:hAnsi="Century Gothic"/>
              </w:rPr>
              <w:t>Sexual Exploitation (in all its forms)</w:t>
            </w:r>
            <w:r w:rsidR="009017C5" w:rsidRPr="002F1E21">
              <w:rPr>
                <w:rFonts w:ascii="Century Gothic" w:hAnsi="Century Gothic"/>
              </w:rPr>
              <w:t xml:space="preserve"> </w:t>
            </w:r>
          </w:p>
          <w:p w14:paraId="7E15A6EA" w14:textId="7C2088F9" w:rsidR="00AA604D" w:rsidRPr="002F1E21" w:rsidRDefault="00AA604D" w:rsidP="00307866">
            <w:pPr>
              <w:rPr>
                <w:rFonts w:ascii="Century Gothic" w:hAnsi="Century Gothic"/>
              </w:rPr>
            </w:pPr>
            <w:r w:rsidRPr="002F1E21">
              <w:rPr>
                <w:rFonts w:ascii="Century Gothic" w:hAnsi="Century Gothic"/>
              </w:rPr>
              <w:t>Missing and Trafficking</w:t>
            </w:r>
          </w:p>
        </w:tc>
        <w:tc>
          <w:tcPr>
            <w:tcW w:w="2372" w:type="dxa"/>
            <w:tcBorders>
              <w:top w:val="single" w:sz="8" w:space="0" w:color="9F8AB9"/>
              <w:left w:val="single" w:sz="8" w:space="0" w:color="9F8AB9"/>
              <w:bottom w:val="single" w:sz="8" w:space="0" w:color="9F8AB9"/>
              <w:right w:val="single" w:sz="8" w:space="0" w:color="9F8AB9"/>
            </w:tcBorders>
            <w:shd w:val="clear" w:color="auto" w:fill="FFFFFF"/>
          </w:tcPr>
          <w:p w14:paraId="7D19CACB" w14:textId="77777777" w:rsidR="00427655" w:rsidRPr="00427655" w:rsidRDefault="00427655" w:rsidP="00427655">
            <w:pPr>
              <w:rPr>
                <w:rFonts w:ascii="Century Gothic" w:hAnsi="Century Gothic"/>
                <w:bCs/>
              </w:rPr>
            </w:pPr>
          </w:p>
          <w:p w14:paraId="6185C388" w14:textId="77777777" w:rsidR="00427655" w:rsidRPr="00427655" w:rsidRDefault="00427655" w:rsidP="00427655">
            <w:pPr>
              <w:rPr>
                <w:rFonts w:ascii="Century Gothic" w:hAnsi="Century Gothic"/>
                <w:bCs/>
              </w:rPr>
            </w:pPr>
          </w:p>
          <w:p w14:paraId="1FB155D9" w14:textId="6B8CED3F" w:rsidR="009017C5" w:rsidRPr="002F1E21" w:rsidRDefault="009017C5" w:rsidP="00427655">
            <w:pPr>
              <w:rPr>
                <w:rFonts w:ascii="Century Gothic" w:hAnsi="Century Gothic"/>
                <w:b/>
              </w:rPr>
            </w:pPr>
          </w:p>
        </w:tc>
      </w:tr>
      <w:tr w:rsidR="002F1E21" w:rsidRPr="002F1E21" w14:paraId="341D1C07" w14:textId="77777777" w:rsidTr="00AF39BA">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rPr>
          <w:gridAfter w:val="1"/>
          <w:wAfter w:w="14" w:type="dxa"/>
        </w:trPr>
        <w:tc>
          <w:tcPr>
            <w:tcW w:w="1013" w:type="dxa"/>
            <w:tcBorders>
              <w:top w:val="single" w:sz="8" w:space="0" w:color="9F8AB9"/>
              <w:left w:val="single" w:sz="8" w:space="0" w:color="9F8AB9"/>
              <w:bottom w:val="single" w:sz="8" w:space="0" w:color="9F8AB9"/>
              <w:right w:val="single" w:sz="4" w:space="0" w:color="auto"/>
            </w:tcBorders>
            <w:shd w:val="clear" w:color="auto" w:fill="FFFFFF"/>
          </w:tcPr>
          <w:p w14:paraId="5910E426" w14:textId="692B3E52" w:rsidR="00042222" w:rsidRPr="002F1E21" w:rsidRDefault="008F33AB" w:rsidP="008F33AB">
            <w:pPr>
              <w:jc w:val="center"/>
              <w:rPr>
                <w:rFonts w:ascii="Century Gothic" w:hAnsi="Century Gothic"/>
                <w:b/>
                <w:bCs/>
              </w:rPr>
            </w:pPr>
            <w:r w:rsidRPr="002F1E21">
              <w:rPr>
                <w:rFonts w:ascii="Century Gothic" w:hAnsi="Century Gothic"/>
                <w:b/>
                <w:bCs/>
              </w:rPr>
              <w:lastRenderedPageBreak/>
              <w:t>1,2</w:t>
            </w:r>
          </w:p>
        </w:tc>
        <w:tc>
          <w:tcPr>
            <w:tcW w:w="563" w:type="dxa"/>
            <w:tcBorders>
              <w:top w:val="single" w:sz="8" w:space="0" w:color="9F8AB9"/>
              <w:left w:val="single" w:sz="4" w:space="0" w:color="auto"/>
              <w:bottom w:val="single" w:sz="8" w:space="0" w:color="9F8AB9"/>
              <w:right w:val="single" w:sz="8" w:space="0" w:color="9F8AB9"/>
            </w:tcBorders>
            <w:shd w:val="clear" w:color="auto" w:fill="FFFFFF"/>
          </w:tcPr>
          <w:p w14:paraId="780D7213" w14:textId="366D0FEC" w:rsidR="00042222" w:rsidRPr="002F1E21" w:rsidRDefault="00042222" w:rsidP="00307866">
            <w:pPr>
              <w:rPr>
                <w:rFonts w:ascii="Century Gothic" w:hAnsi="Century Gothic"/>
                <w:b/>
                <w:bCs/>
              </w:rPr>
            </w:pPr>
            <w:r w:rsidRPr="002F1E21">
              <w:rPr>
                <w:rFonts w:ascii="Century Gothic" w:hAnsi="Century Gothic"/>
                <w:b/>
                <w:bCs/>
              </w:rPr>
              <w:t>1.7</w:t>
            </w:r>
          </w:p>
        </w:tc>
        <w:tc>
          <w:tcPr>
            <w:tcW w:w="4197" w:type="dxa"/>
            <w:tcBorders>
              <w:top w:val="single" w:sz="8" w:space="0" w:color="9F8AB9"/>
              <w:left w:val="single" w:sz="8" w:space="0" w:color="9F8AB9"/>
              <w:bottom w:val="single" w:sz="8" w:space="0" w:color="9F8AB9"/>
              <w:right w:val="single" w:sz="8" w:space="0" w:color="9F8AB9"/>
            </w:tcBorders>
            <w:shd w:val="clear" w:color="auto" w:fill="FFFFFF"/>
          </w:tcPr>
          <w:p w14:paraId="36DE2ECD" w14:textId="2808F54B" w:rsidR="00042222" w:rsidRPr="002F1E21" w:rsidRDefault="00042222" w:rsidP="00307866">
            <w:pPr>
              <w:rPr>
                <w:rFonts w:ascii="Century Gothic" w:eastAsiaTheme="minorEastAsia" w:hAnsi="Century Gothic" w:cs="Proxima Nova"/>
                <w:lang w:eastAsia="en-GB"/>
              </w:rPr>
            </w:pPr>
            <w:r w:rsidRPr="002F1E21">
              <w:rPr>
                <w:rFonts w:ascii="Century Gothic" w:eastAsiaTheme="minorEastAsia" w:hAnsi="Century Gothic" w:cs="Proxima Nova"/>
                <w:lang w:eastAsia="en-GB"/>
              </w:rPr>
              <w:t xml:space="preserve">Support is offered to local employers </w:t>
            </w:r>
            <w:r w:rsidR="002F6086" w:rsidRPr="002F1E21">
              <w:rPr>
                <w:rFonts w:ascii="Century Gothic" w:eastAsiaTheme="minorEastAsia" w:hAnsi="Century Gothic" w:cs="Proxima Nova"/>
                <w:lang w:eastAsia="en-GB"/>
              </w:rPr>
              <w:t>to ensure workplaces and workplace policies are gender sensitive and promote equality</w:t>
            </w:r>
          </w:p>
        </w:tc>
        <w:tc>
          <w:tcPr>
            <w:tcW w:w="1952" w:type="dxa"/>
            <w:gridSpan w:val="2"/>
            <w:tcBorders>
              <w:top w:val="single" w:sz="8" w:space="0" w:color="9F8AB9"/>
              <w:left w:val="single" w:sz="8" w:space="0" w:color="9F8AB9"/>
              <w:bottom w:val="single" w:sz="8" w:space="0" w:color="9F8AB9"/>
              <w:right w:val="single" w:sz="8" w:space="0" w:color="9F8AB9"/>
            </w:tcBorders>
            <w:shd w:val="clear" w:color="auto" w:fill="FFFFFF"/>
          </w:tcPr>
          <w:p w14:paraId="04B63788" w14:textId="20271373" w:rsidR="00042222" w:rsidRPr="002F1E21" w:rsidRDefault="00DC58C1" w:rsidP="00307866">
            <w:pPr>
              <w:rPr>
                <w:rFonts w:ascii="Century Gothic" w:hAnsi="Century Gothic"/>
              </w:rPr>
            </w:pPr>
            <w:r w:rsidRPr="002F1E21">
              <w:rPr>
                <w:rFonts w:ascii="Century Gothic" w:hAnsi="Century Gothic"/>
              </w:rPr>
              <w:t>Prevention Subgroup</w:t>
            </w:r>
          </w:p>
        </w:tc>
        <w:tc>
          <w:tcPr>
            <w:tcW w:w="5624" w:type="dxa"/>
            <w:tcBorders>
              <w:top w:val="single" w:sz="8" w:space="0" w:color="9F8AB9"/>
              <w:left w:val="single" w:sz="8" w:space="0" w:color="9F8AB9"/>
              <w:bottom w:val="single" w:sz="8" w:space="0" w:color="9F8AB9"/>
              <w:right w:val="single" w:sz="8" w:space="0" w:color="9F8AB9"/>
            </w:tcBorders>
            <w:shd w:val="clear" w:color="auto" w:fill="FFFFFF"/>
          </w:tcPr>
          <w:p w14:paraId="5D7D13B4" w14:textId="6A87FDD6" w:rsidR="00042222" w:rsidRPr="002F1E21" w:rsidRDefault="00042222" w:rsidP="00307866">
            <w:pPr>
              <w:rPr>
                <w:rFonts w:ascii="Century Gothic" w:hAnsi="Century Gothic"/>
              </w:rPr>
            </w:pPr>
            <w:r w:rsidRPr="002F1E21">
              <w:rPr>
                <w:rFonts w:ascii="Century Gothic" w:hAnsi="Century Gothic"/>
              </w:rPr>
              <w:t>Public</w:t>
            </w:r>
            <w:r w:rsidR="006850BA" w:rsidRPr="002F1E21">
              <w:rPr>
                <w:rFonts w:ascii="Century Gothic" w:hAnsi="Century Gothic"/>
              </w:rPr>
              <w:t>/Third/All</w:t>
            </w:r>
            <w:r w:rsidRPr="002F1E21">
              <w:rPr>
                <w:rFonts w:ascii="Century Gothic" w:hAnsi="Century Gothic"/>
              </w:rPr>
              <w:t xml:space="preserve"> Sector workplace policies are gender-sensitive and recognise the barriers to women’s workplace equality.</w:t>
            </w:r>
          </w:p>
          <w:p w14:paraId="2269BC2E" w14:textId="2470E584" w:rsidR="00042222" w:rsidRPr="002F1E21" w:rsidRDefault="00042222" w:rsidP="00307866">
            <w:pPr>
              <w:rPr>
                <w:rFonts w:ascii="Century Gothic" w:hAnsi="Century Gothic"/>
              </w:rPr>
            </w:pPr>
            <w:r w:rsidRPr="002F1E21">
              <w:rPr>
                <w:rFonts w:ascii="Century Gothic" w:hAnsi="Century Gothic"/>
              </w:rPr>
              <w:t>Public</w:t>
            </w:r>
            <w:r w:rsidR="006850BA" w:rsidRPr="002F1E21">
              <w:rPr>
                <w:rFonts w:ascii="Century Gothic" w:hAnsi="Century Gothic"/>
              </w:rPr>
              <w:t>/Third/All</w:t>
            </w:r>
            <w:r w:rsidRPr="002F1E21">
              <w:rPr>
                <w:rFonts w:ascii="Century Gothic" w:hAnsi="Century Gothic"/>
              </w:rPr>
              <w:t xml:space="preserve"> Sector workplace policies recognise that employees may be affected by VAWG and communicate/support clear paths for women experiencing this.</w:t>
            </w:r>
          </w:p>
          <w:p w14:paraId="4D64F7BE" w14:textId="33AC46B5" w:rsidR="00DC06A9" w:rsidRPr="002F1E21" w:rsidRDefault="00042222" w:rsidP="00307866">
            <w:pPr>
              <w:rPr>
                <w:rFonts w:ascii="Century Gothic" w:hAnsi="Century Gothic"/>
              </w:rPr>
            </w:pPr>
            <w:r w:rsidRPr="002F1E21">
              <w:rPr>
                <w:rFonts w:ascii="Century Gothic" w:hAnsi="Century Gothic"/>
              </w:rPr>
              <w:t>Public Sector partners have robust policies in place to strengthen approaches to tackle VAWG.</w:t>
            </w:r>
          </w:p>
        </w:tc>
        <w:tc>
          <w:tcPr>
            <w:tcW w:w="2372" w:type="dxa"/>
            <w:tcBorders>
              <w:top w:val="single" w:sz="8" w:space="0" w:color="9F8AB9"/>
              <w:left w:val="single" w:sz="8" w:space="0" w:color="9F8AB9"/>
              <w:bottom w:val="single" w:sz="8" w:space="0" w:color="9F8AB9"/>
              <w:right w:val="single" w:sz="8" w:space="0" w:color="9F8AB9"/>
            </w:tcBorders>
            <w:shd w:val="clear" w:color="auto" w:fill="FFFFFF"/>
          </w:tcPr>
          <w:p w14:paraId="3581155B" w14:textId="18766A9F" w:rsidR="00042222" w:rsidRPr="002F1E21" w:rsidRDefault="00042222" w:rsidP="00307866">
            <w:pPr>
              <w:rPr>
                <w:rFonts w:ascii="Century Gothic" w:hAnsi="Century Gothic"/>
                <w:b/>
              </w:rPr>
            </w:pPr>
          </w:p>
        </w:tc>
      </w:tr>
    </w:tbl>
    <w:p w14:paraId="52190593" w14:textId="77777777" w:rsidR="002F6086" w:rsidRPr="002F1E21" w:rsidRDefault="002F6086" w:rsidP="00710631">
      <w:pPr>
        <w:spacing w:after="0"/>
      </w:pPr>
    </w:p>
    <w:p w14:paraId="6FE6DBFF" w14:textId="0692C2D9" w:rsidR="00D147C5" w:rsidRPr="009A084B" w:rsidRDefault="00D147C5" w:rsidP="00710631">
      <w:pPr>
        <w:spacing w:after="0"/>
        <w:rPr>
          <w:rFonts w:ascii="Century Gothic" w:hAnsi="Century Gothic"/>
        </w:rPr>
      </w:pPr>
    </w:p>
    <w:p w14:paraId="3029F295" w14:textId="77777777" w:rsidR="00D147C5" w:rsidRPr="009A084B" w:rsidRDefault="00D147C5" w:rsidP="00710631">
      <w:pPr>
        <w:spacing w:after="0"/>
        <w:rPr>
          <w:rFonts w:ascii="Century Gothic" w:hAnsi="Century Gothic"/>
          <w:vanish/>
        </w:rPr>
      </w:pPr>
    </w:p>
    <w:tbl>
      <w:tblPr>
        <w:tblpPr w:leftFromText="180" w:rightFromText="180" w:vertAnchor="text" w:horzAnchor="margin" w:tblpX="-895" w:tblpY="85"/>
        <w:tblW w:w="15711"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993"/>
        <w:gridCol w:w="567"/>
        <w:gridCol w:w="4242"/>
        <w:gridCol w:w="1985"/>
        <w:gridCol w:w="4536"/>
        <w:gridCol w:w="3388"/>
      </w:tblGrid>
      <w:tr w:rsidR="002F1E21" w:rsidRPr="009A084B" w14:paraId="5B34B423" w14:textId="77777777" w:rsidTr="00401BA6">
        <w:tc>
          <w:tcPr>
            <w:tcW w:w="15711" w:type="dxa"/>
            <w:gridSpan w:val="6"/>
            <w:shd w:val="clear" w:color="auto" w:fill="D9D9D9" w:themeFill="background1" w:themeFillShade="D9"/>
          </w:tcPr>
          <w:p w14:paraId="4E1D7595" w14:textId="03763D1E" w:rsidR="00401BA6" w:rsidRPr="009A084B" w:rsidRDefault="008F33AB" w:rsidP="00401BA6">
            <w:pPr>
              <w:jc w:val="center"/>
              <w:rPr>
                <w:rFonts w:ascii="Century Gothic" w:hAnsi="Century Gothic"/>
                <w:b/>
                <w:bCs/>
                <w:sz w:val="28"/>
                <w:szCs w:val="28"/>
              </w:rPr>
            </w:pPr>
            <w:r w:rsidRPr="009A084B">
              <w:rPr>
                <w:rFonts w:ascii="Century Gothic" w:hAnsi="Century Gothic"/>
                <w:b/>
                <w:bCs/>
                <w:sz w:val="28"/>
                <w:szCs w:val="28"/>
              </w:rPr>
              <w:t xml:space="preserve">2. </w:t>
            </w:r>
            <w:r w:rsidR="00401BA6" w:rsidRPr="009A084B">
              <w:rPr>
                <w:rFonts w:ascii="Century Gothic" w:hAnsi="Century Gothic"/>
                <w:b/>
                <w:bCs/>
                <w:sz w:val="28"/>
                <w:szCs w:val="28"/>
              </w:rPr>
              <w:t>Data and Self Evaluation</w:t>
            </w:r>
          </w:p>
        </w:tc>
      </w:tr>
      <w:tr w:rsidR="002F1E21" w:rsidRPr="009A084B" w14:paraId="26D8757F" w14:textId="77777777" w:rsidTr="009A084B">
        <w:tc>
          <w:tcPr>
            <w:tcW w:w="993" w:type="dxa"/>
            <w:tcBorders>
              <w:right w:val="single" w:sz="4" w:space="0" w:color="auto"/>
            </w:tcBorders>
            <w:shd w:val="clear" w:color="auto" w:fill="FFFFFF"/>
          </w:tcPr>
          <w:p w14:paraId="2406A406" w14:textId="39B0FDE0" w:rsidR="00401BA6" w:rsidRPr="009A084B" w:rsidRDefault="00401BA6" w:rsidP="00D147C5">
            <w:pPr>
              <w:rPr>
                <w:rFonts w:ascii="Century Gothic" w:hAnsi="Century Gothic"/>
                <w:b/>
                <w:bCs/>
              </w:rPr>
            </w:pPr>
            <w:r w:rsidRPr="009A084B">
              <w:rPr>
                <w:rFonts w:ascii="Century Gothic" w:hAnsi="Century Gothic"/>
                <w:b/>
                <w:bCs/>
              </w:rPr>
              <w:t>Equally Safe Priority Area</w:t>
            </w:r>
          </w:p>
        </w:tc>
        <w:tc>
          <w:tcPr>
            <w:tcW w:w="567" w:type="dxa"/>
            <w:tcBorders>
              <w:left w:val="single" w:sz="4" w:space="0" w:color="auto"/>
            </w:tcBorders>
            <w:shd w:val="clear" w:color="auto" w:fill="FFFFFF"/>
          </w:tcPr>
          <w:p w14:paraId="2DCF4DBA" w14:textId="77777777" w:rsidR="00401BA6" w:rsidRPr="009A084B" w:rsidRDefault="00401BA6" w:rsidP="00D147C5">
            <w:pPr>
              <w:rPr>
                <w:rFonts w:ascii="Century Gothic" w:hAnsi="Century Gothic"/>
                <w:b/>
                <w:bCs/>
              </w:rPr>
            </w:pPr>
          </w:p>
        </w:tc>
        <w:tc>
          <w:tcPr>
            <w:tcW w:w="4242" w:type="dxa"/>
            <w:shd w:val="clear" w:color="auto" w:fill="FFFFFF"/>
          </w:tcPr>
          <w:p w14:paraId="04E5A05B" w14:textId="44144654" w:rsidR="00401BA6" w:rsidRPr="009A084B" w:rsidRDefault="00CC4AC9" w:rsidP="00D147C5">
            <w:pPr>
              <w:spacing w:after="0"/>
              <w:rPr>
                <w:rFonts w:ascii="Century Gothic" w:hAnsi="Century Gothic"/>
                <w:b/>
              </w:rPr>
            </w:pPr>
            <w:r w:rsidRPr="009A084B">
              <w:rPr>
                <w:rFonts w:ascii="Century Gothic" w:hAnsi="Century Gothic"/>
                <w:b/>
              </w:rPr>
              <w:t>Action</w:t>
            </w:r>
          </w:p>
        </w:tc>
        <w:tc>
          <w:tcPr>
            <w:tcW w:w="1985" w:type="dxa"/>
            <w:shd w:val="clear" w:color="auto" w:fill="FFFFFF"/>
          </w:tcPr>
          <w:p w14:paraId="784576FB" w14:textId="6637CF19" w:rsidR="00401BA6" w:rsidRPr="009A084B" w:rsidRDefault="00401BA6" w:rsidP="00D147C5">
            <w:pPr>
              <w:rPr>
                <w:rFonts w:ascii="Century Gothic" w:hAnsi="Century Gothic"/>
                <w:b/>
              </w:rPr>
            </w:pPr>
            <w:r w:rsidRPr="009A084B">
              <w:rPr>
                <w:rFonts w:ascii="Century Gothic" w:hAnsi="Century Gothic"/>
                <w:b/>
              </w:rPr>
              <w:t>Lead</w:t>
            </w:r>
          </w:p>
        </w:tc>
        <w:tc>
          <w:tcPr>
            <w:tcW w:w="4536" w:type="dxa"/>
            <w:shd w:val="clear" w:color="auto" w:fill="FFFFFF"/>
          </w:tcPr>
          <w:p w14:paraId="1BF276AB" w14:textId="37A9D607" w:rsidR="00401BA6" w:rsidRPr="009A084B" w:rsidRDefault="00401BA6" w:rsidP="00D147C5">
            <w:pPr>
              <w:rPr>
                <w:rFonts w:ascii="Century Gothic" w:hAnsi="Century Gothic"/>
                <w:b/>
                <w:bCs/>
              </w:rPr>
            </w:pPr>
            <w:r w:rsidRPr="009A084B">
              <w:rPr>
                <w:rFonts w:ascii="Century Gothic" w:hAnsi="Century Gothic"/>
                <w:b/>
                <w:bCs/>
              </w:rPr>
              <w:t>Indicator</w:t>
            </w:r>
            <w:r w:rsidR="00CC4AC9" w:rsidRPr="009A084B">
              <w:rPr>
                <w:rFonts w:ascii="Century Gothic" w:hAnsi="Century Gothic"/>
                <w:b/>
                <w:bCs/>
              </w:rPr>
              <w:t>/Outcome</w:t>
            </w:r>
          </w:p>
        </w:tc>
        <w:tc>
          <w:tcPr>
            <w:tcW w:w="3388" w:type="dxa"/>
            <w:shd w:val="clear" w:color="auto" w:fill="FFFFFF"/>
          </w:tcPr>
          <w:p w14:paraId="3FBF3EC9" w14:textId="0D7DD8D7" w:rsidR="00401BA6" w:rsidRPr="009A084B" w:rsidRDefault="00401BA6" w:rsidP="00D147C5">
            <w:pPr>
              <w:rPr>
                <w:rFonts w:ascii="Century Gothic" w:hAnsi="Century Gothic"/>
                <w:b/>
                <w:bCs/>
              </w:rPr>
            </w:pPr>
            <w:r w:rsidRPr="009A084B">
              <w:rPr>
                <w:rFonts w:ascii="Century Gothic" w:hAnsi="Century Gothic"/>
                <w:b/>
                <w:bCs/>
              </w:rPr>
              <w:t>Timescale</w:t>
            </w:r>
            <w:r w:rsidR="00835B56" w:rsidRPr="009A084B">
              <w:rPr>
                <w:rFonts w:ascii="Century Gothic" w:hAnsi="Century Gothic"/>
                <w:b/>
                <w:bCs/>
              </w:rPr>
              <w:t>/update</w:t>
            </w:r>
          </w:p>
        </w:tc>
      </w:tr>
      <w:tr w:rsidR="002F1E21" w:rsidRPr="009A084B" w14:paraId="0BCBD8FE" w14:textId="77777777" w:rsidTr="009A084B">
        <w:tc>
          <w:tcPr>
            <w:tcW w:w="993" w:type="dxa"/>
            <w:tcBorders>
              <w:right w:val="single" w:sz="4" w:space="0" w:color="auto"/>
            </w:tcBorders>
            <w:shd w:val="clear" w:color="auto" w:fill="FFFFFF"/>
          </w:tcPr>
          <w:p w14:paraId="2B28F7A4" w14:textId="1548BA3C" w:rsidR="006F1A74" w:rsidRPr="009A084B" w:rsidRDefault="008F33AB" w:rsidP="008F33AB">
            <w:pPr>
              <w:jc w:val="center"/>
              <w:rPr>
                <w:rFonts w:ascii="Century Gothic" w:hAnsi="Century Gothic"/>
                <w:b/>
                <w:bCs/>
              </w:rPr>
            </w:pPr>
            <w:r w:rsidRPr="009A084B">
              <w:rPr>
                <w:rFonts w:ascii="Century Gothic" w:hAnsi="Century Gothic"/>
                <w:b/>
                <w:bCs/>
              </w:rPr>
              <w:t>1,2,3,4</w:t>
            </w:r>
          </w:p>
        </w:tc>
        <w:tc>
          <w:tcPr>
            <w:tcW w:w="567" w:type="dxa"/>
            <w:tcBorders>
              <w:left w:val="single" w:sz="4" w:space="0" w:color="auto"/>
            </w:tcBorders>
            <w:shd w:val="clear" w:color="auto" w:fill="FFFFFF"/>
          </w:tcPr>
          <w:p w14:paraId="5DB1147C" w14:textId="1C2F6FE5" w:rsidR="006F1A74" w:rsidRPr="009A084B" w:rsidRDefault="00AA604D" w:rsidP="00D147C5">
            <w:pPr>
              <w:rPr>
                <w:rFonts w:ascii="Century Gothic" w:hAnsi="Century Gothic"/>
                <w:b/>
                <w:bCs/>
              </w:rPr>
            </w:pPr>
            <w:r w:rsidRPr="009A084B">
              <w:rPr>
                <w:rFonts w:ascii="Century Gothic" w:hAnsi="Century Gothic"/>
                <w:b/>
                <w:bCs/>
              </w:rPr>
              <w:t>2.1</w:t>
            </w:r>
          </w:p>
        </w:tc>
        <w:tc>
          <w:tcPr>
            <w:tcW w:w="4242" w:type="dxa"/>
            <w:shd w:val="clear" w:color="auto" w:fill="FFFFFF"/>
          </w:tcPr>
          <w:p w14:paraId="6D6BC4F1" w14:textId="6C855289" w:rsidR="006F1A74" w:rsidRPr="009A084B" w:rsidRDefault="00AA604D" w:rsidP="00AA604D">
            <w:pPr>
              <w:spacing w:after="0" w:line="240" w:lineRule="auto"/>
              <w:ind w:right="51"/>
              <w:rPr>
                <w:rFonts w:ascii="Century Gothic" w:hAnsi="Century Gothic"/>
                <w:b/>
              </w:rPr>
            </w:pPr>
            <w:r w:rsidRPr="009A084B">
              <w:rPr>
                <w:rFonts w:ascii="Century Gothic" w:hAnsi="Century Gothic"/>
              </w:rPr>
              <w:t>A</w:t>
            </w:r>
            <w:r w:rsidR="006F1A74" w:rsidRPr="009A084B">
              <w:rPr>
                <w:rFonts w:ascii="Century Gothic" w:hAnsi="Century Gothic"/>
              </w:rPr>
              <w:t xml:space="preserve">VAWP has </w:t>
            </w:r>
            <w:r w:rsidRPr="009A084B">
              <w:rPr>
                <w:rFonts w:ascii="Century Gothic" w:hAnsi="Century Gothic"/>
              </w:rPr>
              <w:t>a Performance F</w:t>
            </w:r>
            <w:r w:rsidR="006F1A74" w:rsidRPr="009A084B">
              <w:rPr>
                <w:rFonts w:ascii="Century Gothic" w:hAnsi="Century Gothic"/>
              </w:rPr>
              <w:t xml:space="preserve">ramework in place.  As a minimum, this framework should include all the </w:t>
            </w:r>
            <w:r w:rsidR="006F1A74" w:rsidRPr="009A084B">
              <w:rPr>
                <w:rFonts w:ascii="Century Gothic" w:hAnsi="Century Gothic"/>
              </w:rPr>
              <w:lastRenderedPageBreak/>
              <w:t xml:space="preserve">indicators listed in the Equally Safe Performance Framework.  </w:t>
            </w:r>
          </w:p>
        </w:tc>
        <w:tc>
          <w:tcPr>
            <w:tcW w:w="1985" w:type="dxa"/>
            <w:shd w:val="clear" w:color="auto" w:fill="FFFFFF"/>
          </w:tcPr>
          <w:p w14:paraId="5A6F40F8" w14:textId="69261E06" w:rsidR="006F1A74" w:rsidRPr="009A084B" w:rsidRDefault="00AF39BA" w:rsidP="00D147C5">
            <w:pPr>
              <w:rPr>
                <w:rFonts w:ascii="Century Gothic" w:hAnsi="Century Gothic"/>
              </w:rPr>
            </w:pPr>
            <w:r w:rsidRPr="009A084B">
              <w:rPr>
                <w:rFonts w:ascii="Century Gothic" w:hAnsi="Century Gothic"/>
              </w:rPr>
              <w:lastRenderedPageBreak/>
              <w:t xml:space="preserve">Self-Evaluation and Continuous </w:t>
            </w:r>
            <w:r w:rsidRPr="009A084B">
              <w:rPr>
                <w:rFonts w:ascii="Century Gothic" w:hAnsi="Century Gothic"/>
              </w:rPr>
              <w:lastRenderedPageBreak/>
              <w:t>Improvement Subgroup</w:t>
            </w:r>
          </w:p>
        </w:tc>
        <w:tc>
          <w:tcPr>
            <w:tcW w:w="4536" w:type="dxa"/>
            <w:shd w:val="clear" w:color="auto" w:fill="FFFFFF"/>
          </w:tcPr>
          <w:p w14:paraId="45C5C3B6" w14:textId="4EF1FD53" w:rsidR="00A67D91" w:rsidRPr="009A084B" w:rsidRDefault="00A67D91" w:rsidP="00401BA6">
            <w:pPr>
              <w:pStyle w:val="Pa4"/>
              <w:spacing w:after="280"/>
              <w:rPr>
                <w:rFonts w:ascii="Century Gothic" w:hAnsi="Century Gothic"/>
                <w:sz w:val="22"/>
                <w:szCs w:val="22"/>
              </w:rPr>
            </w:pPr>
            <w:r w:rsidRPr="009A084B">
              <w:rPr>
                <w:rFonts w:ascii="Century Gothic" w:hAnsi="Century Gothic"/>
                <w:sz w:val="22"/>
                <w:szCs w:val="22"/>
              </w:rPr>
              <w:lastRenderedPageBreak/>
              <w:t>1.AVAWP performance framework drafted</w:t>
            </w:r>
          </w:p>
          <w:p w14:paraId="34903BAF" w14:textId="60F5654C" w:rsidR="00A67D91" w:rsidRPr="009A084B" w:rsidRDefault="00A67D91" w:rsidP="00A67D91">
            <w:pPr>
              <w:pStyle w:val="Default"/>
              <w:rPr>
                <w:rFonts w:ascii="Century Gothic" w:hAnsi="Century Gothic"/>
                <w:sz w:val="22"/>
                <w:szCs w:val="22"/>
                <w:lang w:eastAsia="en-GB"/>
              </w:rPr>
            </w:pPr>
            <w:r w:rsidRPr="009A084B">
              <w:rPr>
                <w:rFonts w:ascii="Century Gothic" w:hAnsi="Century Gothic"/>
                <w:sz w:val="22"/>
                <w:szCs w:val="22"/>
                <w:lang w:eastAsia="en-GB"/>
              </w:rPr>
              <w:lastRenderedPageBreak/>
              <w:t>2. membership of the group is established</w:t>
            </w:r>
          </w:p>
          <w:p w14:paraId="6BE9CB2F" w14:textId="77777777" w:rsidR="00A67D91" w:rsidRPr="009A084B" w:rsidRDefault="00A67D91" w:rsidP="00401BA6">
            <w:pPr>
              <w:pStyle w:val="Pa4"/>
              <w:spacing w:after="280"/>
              <w:rPr>
                <w:rFonts w:ascii="Century Gothic" w:hAnsi="Century Gothic"/>
                <w:sz w:val="22"/>
                <w:szCs w:val="22"/>
              </w:rPr>
            </w:pPr>
          </w:p>
          <w:p w14:paraId="09C7571F" w14:textId="77777777" w:rsidR="00A67D91" w:rsidRPr="009A084B" w:rsidRDefault="00A67D91" w:rsidP="00401BA6">
            <w:pPr>
              <w:pStyle w:val="Pa4"/>
              <w:spacing w:after="280"/>
              <w:rPr>
                <w:rFonts w:ascii="Century Gothic" w:hAnsi="Century Gothic"/>
                <w:sz w:val="22"/>
                <w:szCs w:val="22"/>
              </w:rPr>
            </w:pPr>
          </w:p>
          <w:p w14:paraId="4760D305" w14:textId="77777777" w:rsidR="00A67D91" w:rsidRPr="009A084B" w:rsidRDefault="00A67D91" w:rsidP="00401BA6">
            <w:pPr>
              <w:pStyle w:val="Pa4"/>
              <w:spacing w:after="280"/>
              <w:rPr>
                <w:rFonts w:ascii="Century Gothic" w:hAnsi="Century Gothic"/>
                <w:sz w:val="22"/>
                <w:szCs w:val="22"/>
              </w:rPr>
            </w:pPr>
          </w:p>
          <w:p w14:paraId="610EEBF4" w14:textId="1257EE76" w:rsidR="00AA604D" w:rsidRPr="009A084B" w:rsidRDefault="009A084B" w:rsidP="009A084B">
            <w:pPr>
              <w:pStyle w:val="Pa4"/>
              <w:spacing w:after="280"/>
              <w:rPr>
                <w:rFonts w:ascii="Century Gothic" w:hAnsi="Century Gothic"/>
                <w:sz w:val="22"/>
                <w:szCs w:val="22"/>
              </w:rPr>
            </w:pPr>
            <w:r w:rsidRPr="009A084B">
              <w:rPr>
                <w:rFonts w:ascii="Century Gothic" w:hAnsi="Century Gothic"/>
                <w:sz w:val="22"/>
                <w:szCs w:val="22"/>
              </w:rPr>
              <w:t>3.</w:t>
            </w:r>
            <w:r w:rsidR="00AA604D" w:rsidRPr="009A084B">
              <w:rPr>
                <w:rFonts w:ascii="Century Gothic" w:hAnsi="Century Gothic"/>
                <w:sz w:val="22"/>
                <w:szCs w:val="22"/>
              </w:rPr>
              <w:t>A</w:t>
            </w:r>
            <w:r w:rsidR="006F1A74" w:rsidRPr="009A084B">
              <w:rPr>
                <w:rFonts w:ascii="Century Gothic" w:hAnsi="Century Gothic"/>
                <w:sz w:val="22"/>
                <w:szCs w:val="22"/>
              </w:rPr>
              <w:t xml:space="preserve"> self-assessment </w:t>
            </w:r>
            <w:r w:rsidR="00AA604D" w:rsidRPr="009A084B">
              <w:rPr>
                <w:rFonts w:ascii="Century Gothic" w:hAnsi="Century Gothic"/>
                <w:sz w:val="22"/>
                <w:szCs w:val="22"/>
              </w:rPr>
              <w:t>is undertaken every</w:t>
            </w:r>
            <w:r w:rsidR="006F1A74" w:rsidRPr="009A084B">
              <w:rPr>
                <w:rFonts w:ascii="Century Gothic" w:hAnsi="Century Gothic"/>
                <w:sz w:val="22"/>
                <w:szCs w:val="22"/>
              </w:rPr>
              <w:t xml:space="preserve"> 3 years</w:t>
            </w:r>
            <w:r w:rsidR="00AA604D" w:rsidRPr="009A084B">
              <w:rPr>
                <w:rFonts w:ascii="Century Gothic" w:hAnsi="Century Gothic"/>
                <w:sz w:val="22"/>
                <w:szCs w:val="22"/>
              </w:rPr>
              <w:t xml:space="preserve"> as a minimum using</w:t>
            </w:r>
            <w:r w:rsidR="006F1A74" w:rsidRPr="009A084B">
              <w:rPr>
                <w:rFonts w:ascii="Century Gothic" w:hAnsi="Century Gothic"/>
                <w:sz w:val="22"/>
                <w:szCs w:val="22"/>
              </w:rPr>
              <w:t xml:space="preserve"> the VAWP Self-Assessment Checklist </w:t>
            </w:r>
          </w:p>
          <w:p w14:paraId="07AFA923" w14:textId="5263E2D5" w:rsidR="009A084B" w:rsidRPr="009A084B" w:rsidRDefault="009A084B" w:rsidP="009A084B">
            <w:pPr>
              <w:pStyle w:val="Default"/>
              <w:rPr>
                <w:rFonts w:ascii="Century Gothic" w:hAnsi="Century Gothic"/>
                <w:sz w:val="22"/>
                <w:szCs w:val="22"/>
                <w:lang w:eastAsia="en-GB"/>
              </w:rPr>
            </w:pPr>
          </w:p>
          <w:p w14:paraId="5D01E789" w14:textId="2D1C4AA9" w:rsidR="009A084B" w:rsidRPr="009A084B" w:rsidRDefault="009A084B" w:rsidP="009A084B">
            <w:pPr>
              <w:pStyle w:val="Default"/>
              <w:rPr>
                <w:rFonts w:ascii="Century Gothic" w:hAnsi="Century Gothic"/>
                <w:sz w:val="22"/>
                <w:szCs w:val="22"/>
                <w:lang w:eastAsia="en-GB"/>
              </w:rPr>
            </w:pPr>
          </w:p>
          <w:p w14:paraId="316911B5" w14:textId="26D91E34" w:rsidR="009A084B" w:rsidRPr="009A084B" w:rsidRDefault="009A084B" w:rsidP="009A084B">
            <w:pPr>
              <w:pStyle w:val="Default"/>
              <w:rPr>
                <w:rFonts w:ascii="Century Gothic" w:hAnsi="Century Gothic"/>
                <w:sz w:val="22"/>
                <w:szCs w:val="22"/>
                <w:lang w:eastAsia="en-GB"/>
              </w:rPr>
            </w:pPr>
          </w:p>
          <w:p w14:paraId="7268755F" w14:textId="2E75880E" w:rsidR="009A084B" w:rsidRDefault="009A084B" w:rsidP="009A084B">
            <w:pPr>
              <w:pStyle w:val="Default"/>
              <w:rPr>
                <w:rFonts w:ascii="Century Gothic" w:hAnsi="Century Gothic"/>
                <w:sz w:val="22"/>
                <w:szCs w:val="22"/>
                <w:lang w:eastAsia="en-GB"/>
              </w:rPr>
            </w:pPr>
          </w:p>
          <w:p w14:paraId="6DF13DAA" w14:textId="77777777" w:rsidR="009A084B" w:rsidRPr="009A084B" w:rsidRDefault="009A084B" w:rsidP="009A084B">
            <w:pPr>
              <w:pStyle w:val="Default"/>
              <w:rPr>
                <w:rFonts w:ascii="Century Gothic" w:hAnsi="Century Gothic"/>
                <w:sz w:val="22"/>
                <w:szCs w:val="22"/>
                <w:lang w:eastAsia="en-GB"/>
              </w:rPr>
            </w:pPr>
          </w:p>
          <w:p w14:paraId="5A232BFD" w14:textId="77777777" w:rsidR="009A084B" w:rsidRPr="009A084B" w:rsidRDefault="009A084B" w:rsidP="009A084B">
            <w:pPr>
              <w:pStyle w:val="Default"/>
              <w:rPr>
                <w:rFonts w:ascii="Century Gothic" w:hAnsi="Century Gothic"/>
                <w:sz w:val="22"/>
                <w:szCs w:val="22"/>
                <w:lang w:eastAsia="en-GB"/>
              </w:rPr>
            </w:pPr>
          </w:p>
          <w:p w14:paraId="6B9F74E9" w14:textId="0C1389FE" w:rsidR="006F1A74" w:rsidRPr="009A084B" w:rsidRDefault="00A67D91" w:rsidP="00401BA6">
            <w:pPr>
              <w:pStyle w:val="Pa4"/>
              <w:spacing w:after="280"/>
              <w:rPr>
                <w:rFonts w:ascii="Century Gothic" w:hAnsi="Century Gothic"/>
                <w:sz w:val="22"/>
                <w:szCs w:val="22"/>
              </w:rPr>
            </w:pPr>
            <w:r w:rsidRPr="009A084B">
              <w:rPr>
                <w:rFonts w:ascii="Century Gothic" w:hAnsi="Century Gothic"/>
                <w:sz w:val="22"/>
                <w:szCs w:val="22"/>
              </w:rPr>
              <w:t xml:space="preserve">4. </w:t>
            </w:r>
            <w:r w:rsidR="00AA604D" w:rsidRPr="009A084B">
              <w:rPr>
                <w:rFonts w:ascii="Century Gothic" w:hAnsi="Century Gothic"/>
                <w:sz w:val="22"/>
                <w:szCs w:val="22"/>
              </w:rPr>
              <w:t>A</w:t>
            </w:r>
            <w:r w:rsidR="006F1A74" w:rsidRPr="009A084B">
              <w:rPr>
                <w:rFonts w:ascii="Century Gothic" w:hAnsi="Century Gothic"/>
                <w:sz w:val="22"/>
                <w:szCs w:val="22"/>
              </w:rPr>
              <w:t>n improvement plan</w:t>
            </w:r>
            <w:r w:rsidR="00AA604D" w:rsidRPr="009A084B">
              <w:rPr>
                <w:rFonts w:ascii="Century Gothic" w:hAnsi="Century Gothic"/>
                <w:sz w:val="22"/>
                <w:szCs w:val="22"/>
              </w:rPr>
              <w:t xml:space="preserve"> is developed</w:t>
            </w:r>
            <w:r w:rsidR="006F1A74" w:rsidRPr="009A084B">
              <w:rPr>
                <w:rFonts w:ascii="Century Gothic" w:hAnsi="Century Gothic"/>
                <w:sz w:val="22"/>
                <w:szCs w:val="22"/>
              </w:rPr>
              <w:t xml:space="preserve"> in response to the </w:t>
            </w:r>
            <w:r w:rsidR="00AA604D" w:rsidRPr="009A084B">
              <w:rPr>
                <w:rFonts w:ascii="Century Gothic" w:hAnsi="Century Gothic"/>
                <w:sz w:val="22"/>
                <w:szCs w:val="22"/>
              </w:rPr>
              <w:t xml:space="preserve">identified </w:t>
            </w:r>
            <w:r w:rsidR="006F1A74" w:rsidRPr="009A084B">
              <w:rPr>
                <w:rFonts w:ascii="Century Gothic" w:hAnsi="Century Gothic"/>
                <w:sz w:val="22"/>
                <w:szCs w:val="22"/>
              </w:rPr>
              <w:t xml:space="preserve">strengths and areas for improvement </w:t>
            </w:r>
            <w:r w:rsidR="00AA604D" w:rsidRPr="009A084B">
              <w:rPr>
                <w:rFonts w:ascii="Century Gothic" w:hAnsi="Century Gothic"/>
                <w:sz w:val="22"/>
                <w:szCs w:val="22"/>
              </w:rPr>
              <w:t>are addressed</w:t>
            </w:r>
          </w:p>
          <w:p w14:paraId="64A19BB4" w14:textId="26DF3EB4" w:rsidR="009A084B" w:rsidRPr="009A084B" w:rsidRDefault="009A084B" w:rsidP="009A084B">
            <w:pPr>
              <w:pStyle w:val="Default"/>
              <w:rPr>
                <w:rFonts w:ascii="Century Gothic" w:hAnsi="Century Gothic"/>
                <w:sz w:val="22"/>
                <w:szCs w:val="22"/>
                <w:lang w:eastAsia="en-GB"/>
              </w:rPr>
            </w:pPr>
          </w:p>
          <w:p w14:paraId="5D7551F6" w14:textId="78D62AA6" w:rsidR="009A084B" w:rsidRPr="009A084B" w:rsidRDefault="009A084B" w:rsidP="009A084B">
            <w:pPr>
              <w:pStyle w:val="Default"/>
              <w:rPr>
                <w:rFonts w:ascii="Century Gothic" w:hAnsi="Century Gothic"/>
                <w:sz w:val="22"/>
                <w:szCs w:val="22"/>
                <w:lang w:eastAsia="en-GB"/>
              </w:rPr>
            </w:pPr>
          </w:p>
          <w:p w14:paraId="6DF74A12" w14:textId="42E18AB3" w:rsidR="009A084B" w:rsidRPr="009A084B" w:rsidRDefault="009A084B" w:rsidP="009A084B">
            <w:pPr>
              <w:pStyle w:val="Default"/>
              <w:rPr>
                <w:rFonts w:ascii="Century Gothic" w:hAnsi="Century Gothic"/>
                <w:sz w:val="22"/>
                <w:szCs w:val="22"/>
                <w:lang w:eastAsia="en-GB"/>
              </w:rPr>
            </w:pPr>
          </w:p>
          <w:p w14:paraId="6192E019" w14:textId="77777777" w:rsidR="009A084B" w:rsidRPr="009A084B" w:rsidRDefault="009A084B" w:rsidP="009A084B">
            <w:pPr>
              <w:pStyle w:val="Default"/>
              <w:rPr>
                <w:rFonts w:ascii="Century Gothic" w:hAnsi="Century Gothic"/>
                <w:sz w:val="22"/>
                <w:szCs w:val="22"/>
                <w:lang w:eastAsia="en-GB"/>
              </w:rPr>
            </w:pPr>
          </w:p>
          <w:p w14:paraId="01C2B2F7" w14:textId="1BEB551D" w:rsidR="00AA604D" w:rsidRPr="009A084B" w:rsidRDefault="00A67D91" w:rsidP="00AA604D">
            <w:pPr>
              <w:pStyle w:val="Pa4"/>
              <w:spacing w:after="280"/>
              <w:rPr>
                <w:rFonts w:ascii="Century Gothic" w:hAnsi="Century Gothic" w:cs="Proxima Nova"/>
                <w:sz w:val="22"/>
                <w:szCs w:val="22"/>
              </w:rPr>
            </w:pPr>
            <w:r w:rsidRPr="009A084B">
              <w:rPr>
                <w:rFonts w:ascii="Century Gothic" w:hAnsi="Century Gothic" w:cs="Proxima Nova"/>
                <w:sz w:val="22"/>
                <w:szCs w:val="22"/>
              </w:rPr>
              <w:t xml:space="preserve">5. </w:t>
            </w:r>
            <w:r w:rsidR="00AA604D" w:rsidRPr="009A084B">
              <w:rPr>
                <w:rFonts w:ascii="Century Gothic" w:hAnsi="Century Gothic" w:cs="Proxima Nova"/>
                <w:sz w:val="22"/>
                <w:szCs w:val="22"/>
              </w:rPr>
              <w:t xml:space="preserve">AVAWP </w:t>
            </w:r>
            <w:r w:rsidR="00042222" w:rsidRPr="009A084B">
              <w:rPr>
                <w:rFonts w:ascii="Century Gothic" w:hAnsi="Century Gothic" w:cs="Proxima Nova"/>
                <w:sz w:val="22"/>
                <w:szCs w:val="22"/>
              </w:rPr>
              <w:t>will collect</w:t>
            </w:r>
            <w:r w:rsidR="00AA604D" w:rsidRPr="009A084B">
              <w:rPr>
                <w:rFonts w:ascii="Century Gothic" w:hAnsi="Century Gothic" w:cs="Proxima Nova"/>
                <w:sz w:val="22"/>
                <w:szCs w:val="22"/>
              </w:rPr>
              <w:t xml:space="preserve"> </w:t>
            </w:r>
            <w:r w:rsidR="00042222" w:rsidRPr="009A084B">
              <w:rPr>
                <w:rFonts w:ascii="Century Gothic" w:hAnsi="Century Gothic" w:cs="Proxima Nova"/>
                <w:sz w:val="22"/>
                <w:szCs w:val="22"/>
              </w:rPr>
              <w:t>and analyse</w:t>
            </w:r>
            <w:r w:rsidR="00AA604D" w:rsidRPr="009A084B">
              <w:rPr>
                <w:rFonts w:ascii="Century Gothic" w:hAnsi="Century Gothic" w:cs="Proxima Nova"/>
                <w:sz w:val="22"/>
                <w:szCs w:val="22"/>
              </w:rPr>
              <w:t xml:space="preserve"> data to understand people’s attitudes in relation to GBV at least every two years, and use that to inform future strategy and action </w:t>
            </w:r>
          </w:p>
          <w:p w14:paraId="2E2CF135" w14:textId="0D2E5686" w:rsidR="009A084B" w:rsidRPr="009A084B" w:rsidRDefault="009A084B" w:rsidP="009A084B">
            <w:pPr>
              <w:pStyle w:val="Default"/>
              <w:rPr>
                <w:rFonts w:ascii="Century Gothic" w:hAnsi="Century Gothic"/>
                <w:sz w:val="22"/>
                <w:szCs w:val="22"/>
                <w:lang w:eastAsia="en-GB"/>
              </w:rPr>
            </w:pPr>
          </w:p>
          <w:p w14:paraId="45BA051B" w14:textId="0C62C004" w:rsidR="009A084B" w:rsidRPr="009A084B" w:rsidRDefault="009A084B" w:rsidP="009A084B">
            <w:pPr>
              <w:pStyle w:val="Default"/>
              <w:rPr>
                <w:rFonts w:ascii="Century Gothic" w:hAnsi="Century Gothic"/>
                <w:sz w:val="22"/>
                <w:szCs w:val="22"/>
                <w:lang w:eastAsia="en-GB"/>
              </w:rPr>
            </w:pPr>
          </w:p>
          <w:p w14:paraId="436D1FD0" w14:textId="4C6A378B" w:rsidR="009A084B" w:rsidRPr="009A084B" w:rsidRDefault="009A084B" w:rsidP="009A084B">
            <w:pPr>
              <w:pStyle w:val="Default"/>
              <w:rPr>
                <w:rFonts w:ascii="Century Gothic" w:hAnsi="Century Gothic"/>
                <w:sz w:val="22"/>
                <w:szCs w:val="22"/>
                <w:lang w:eastAsia="en-GB"/>
              </w:rPr>
            </w:pPr>
          </w:p>
          <w:p w14:paraId="77A39FFD" w14:textId="5AD78A45" w:rsidR="009A084B" w:rsidRDefault="009A084B" w:rsidP="009A084B">
            <w:pPr>
              <w:pStyle w:val="Default"/>
              <w:rPr>
                <w:rFonts w:ascii="Century Gothic" w:hAnsi="Century Gothic"/>
                <w:sz w:val="22"/>
                <w:szCs w:val="22"/>
                <w:lang w:eastAsia="en-GB"/>
              </w:rPr>
            </w:pPr>
          </w:p>
          <w:p w14:paraId="19E063B1" w14:textId="77777777" w:rsidR="009A084B" w:rsidRPr="009A084B" w:rsidRDefault="009A084B" w:rsidP="009A084B">
            <w:pPr>
              <w:pStyle w:val="Default"/>
              <w:rPr>
                <w:rFonts w:ascii="Century Gothic" w:hAnsi="Century Gothic"/>
                <w:sz w:val="22"/>
                <w:szCs w:val="22"/>
                <w:lang w:eastAsia="en-GB"/>
              </w:rPr>
            </w:pPr>
          </w:p>
          <w:p w14:paraId="640DD28F" w14:textId="77777777" w:rsidR="009A084B" w:rsidRPr="009A084B" w:rsidRDefault="009A084B" w:rsidP="009A084B">
            <w:pPr>
              <w:pStyle w:val="Default"/>
              <w:rPr>
                <w:rFonts w:ascii="Century Gothic" w:hAnsi="Century Gothic"/>
                <w:sz w:val="22"/>
                <w:szCs w:val="22"/>
                <w:lang w:eastAsia="en-GB"/>
              </w:rPr>
            </w:pPr>
          </w:p>
          <w:p w14:paraId="62F3502B" w14:textId="2B0FBC45" w:rsidR="00A67D91" w:rsidRPr="009A084B" w:rsidRDefault="00A67D91" w:rsidP="00A67D91">
            <w:pPr>
              <w:pStyle w:val="Default"/>
              <w:rPr>
                <w:rFonts w:ascii="Century Gothic" w:hAnsi="Century Gothic"/>
                <w:sz w:val="22"/>
                <w:szCs w:val="22"/>
                <w:lang w:eastAsia="en-GB"/>
              </w:rPr>
            </w:pPr>
            <w:r w:rsidRPr="009A084B">
              <w:rPr>
                <w:rFonts w:ascii="Century Gothic" w:hAnsi="Century Gothic"/>
                <w:sz w:val="22"/>
                <w:szCs w:val="22"/>
                <w:lang w:eastAsia="en-GB"/>
              </w:rPr>
              <w:t xml:space="preserve">6. Services are designed using demand management </w:t>
            </w:r>
            <w:proofErr w:type="gramStart"/>
            <w:r w:rsidRPr="009A084B">
              <w:rPr>
                <w:rFonts w:ascii="Century Gothic" w:hAnsi="Century Gothic"/>
                <w:sz w:val="22"/>
                <w:szCs w:val="22"/>
                <w:lang w:eastAsia="en-GB"/>
              </w:rPr>
              <w:t>principles ,</w:t>
            </w:r>
            <w:proofErr w:type="gramEnd"/>
            <w:r w:rsidRPr="009A084B">
              <w:rPr>
                <w:rFonts w:ascii="Century Gothic" w:hAnsi="Century Gothic"/>
                <w:sz w:val="22"/>
                <w:szCs w:val="22"/>
                <w:lang w:eastAsia="en-GB"/>
              </w:rPr>
              <w:t xml:space="preserve"> ensuring the lived experience of women, children and young people inform and drive all stages</w:t>
            </w:r>
          </w:p>
          <w:p w14:paraId="15B673FE" w14:textId="77777777" w:rsidR="00A67D91" w:rsidRPr="009A084B" w:rsidRDefault="00A67D91" w:rsidP="00A67D91">
            <w:pPr>
              <w:pStyle w:val="Default"/>
              <w:rPr>
                <w:rFonts w:ascii="Century Gothic" w:hAnsi="Century Gothic"/>
                <w:sz w:val="22"/>
                <w:szCs w:val="22"/>
                <w:lang w:eastAsia="en-GB"/>
              </w:rPr>
            </w:pPr>
          </w:p>
          <w:p w14:paraId="791C47D3" w14:textId="64960DE2" w:rsidR="00AA604D" w:rsidRPr="009A084B" w:rsidRDefault="00AA604D" w:rsidP="00A67D91">
            <w:pPr>
              <w:pStyle w:val="Default"/>
              <w:rPr>
                <w:rFonts w:ascii="Century Gothic" w:hAnsi="Century Gothic"/>
                <w:color w:val="auto"/>
                <w:sz w:val="22"/>
                <w:szCs w:val="22"/>
                <w:lang w:eastAsia="en-GB"/>
              </w:rPr>
            </w:pPr>
          </w:p>
        </w:tc>
        <w:tc>
          <w:tcPr>
            <w:tcW w:w="3388" w:type="dxa"/>
            <w:shd w:val="clear" w:color="auto" w:fill="FFFFFF"/>
          </w:tcPr>
          <w:p w14:paraId="4CFC72C5" w14:textId="3907182F" w:rsidR="009A084B" w:rsidRPr="009A084B" w:rsidRDefault="009A084B" w:rsidP="006D7A2F">
            <w:pPr>
              <w:pStyle w:val="Default"/>
              <w:rPr>
                <w:rFonts w:ascii="Century Gothic" w:hAnsi="Century Gothic"/>
              </w:rPr>
            </w:pPr>
          </w:p>
        </w:tc>
      </w:tr>
      <w:tr w:rsidR="002F1E21" w:rsidRPr="002F1E21" w14:paraId="7325CF6C" w14:textId="77777777" w:rsidTr="009A084B">
        <w:tc>
          <w:tcPr>
            <w:tcW w:w="993" w:type="dxa"/>
            <w:tcBorders>
              <w:right w:val="single" w:sz="4" w:space="0" w:color="auto"/>
            </w:tcBorders>
            <w:shd w:val="clear" w:color="auto" w:fill="FFFFFF"/>
          </w:tcPr>
          <w:p w14:paraId="6732ABF9" w14:textId="2358FC8E" w:rsidR="00401BA6" w:rsidRPr="002F1E21" w:rsidRDefault="008F33AB" w:rsidP="008F33AB">
            <w:pPr>
              <w:jc w:val="center"/>
              <w:rPr>
                <w:rFonts w:ascii="Century Gothic" w:hAnsi="Century Gothic"/>
                <w:b/>
                <w:bCs/>
              </w:rPr>
            </w:pPr>
            <w:r w:rsidRPr="002F1E21">
              <w:rPr>
                <w:rFonts w:ascii="Century Gothic" w:hAnsi="Century Gothic"/>
                <w:b/>
                <w:bCs/>
              </w:rPr>
              <w:lastRenderedPageBreak/>
              <w:t>1,2</w:t>
            </w:r>
          </w:p>
        </w:tc>
        <w:tc>
          <w:tcPr>
            <w:tcW w:w="567" w:type="dxa"/>
            <w:tcBorders>
              <w:left w:val="single" w:sz="4" w:space="0" w:color="auto"/>
            </w:tcBorders>
            <w:shd w:val="clear" w:color="auto" w:fill="FFFFFF"/>
          </w:tcPr>
          <w:p w14:paraId="1DFC5B95" w14:textId="139DEDAC" w:rsidR="00401BA6" w:rsidRPr="002F1E21" w:rsidRDefault="00AA604D" w:rsidP="00D147C5">
            <w:pPr>
              <w:rPr>
                <w:rFonts w:ascii="Century Gothic" w:hAnsi="Century Gothic"/>
                <w:b/>
                <w:bCs/>
              </w:rPr>
            </w:pPr>
            <w:r w:rsidRPr="002F1E21">
              <w:rPr>
                <w:rFonts w:ascii="Century Gothic" w:hAnsi="Century Gothic"/>
                <w:b/>
                <w:bCs/>
              </w:rPr>
              <w:t>2.2</w:t>
            </w:r>
          </w:p>
        </w:tc>
        <w:tc>
          <w:tcPr>
            <w:tcW w:w="4242" w:type="dxa"/>
            <w:shd w:val="clear" w:color="auto" w:fill="FFFFFF"/>
          </w:tcPr>
          <w:p w14:paraId="75521AB9" w14:textId="6D60F48C" w:rsidR="00401BA6" w:rsidRPr="002F1E21" w:rsidRDefault="00AA604D" w:rsidP="002F6086">
            <w:pPr>
              <w:rPr>
                <w:rFonts w:ascii="Century Gothic" w:eastAsiaTheme="minorEastAsia" w:hAnsi="Century Gothic" w:cs="Proxima Nova"/>
                <w:lang w:eastAsia="en-GB"/>
              </w:rPr>
            </w:pPr>
            <w:r w:rsidRPr="002F1E21">
              <w:rPr>
                <w:rFonts w:ascii="Century Gothic" w:eastAsiaTheme="minorEastAsia" w:hAnsi="Century Gothic" w:cs="Proxima Nova"/>
                <w:lang w:eastAsia="en-GB"/>
              </w:rPr>
              <w:t xml:space="preserve">EIAs will </w:t>
            </w:r>
            <w:r w:rsidR="00042222" w:rsidRPr="002F1E21">
              <w:rPr>
                <w:rFonts w:ascii="Century Gothic" w:eastAsiaTheme="minorEastAsia" w:hAnsi="Century Gothic" w:cs="Proxima Nova"/>
                <w:lang w:eastAsia="en-GB"/>
              </w:rPr>
              <w:t>be routinely</w:t>
            </w:r>
            <w:r w:rsidRPr="002F1E21">
              <w:rPr>
                <w:rFonts w:ascii="Century Gothic" w:eastAsiaTheme="minorEastAsia" w:hAnsi="Century Gothic" w:cs="Proxima Nova"/>
                <w:lang w:eastAsia="en-GB"/>
              </w:rPr>
              <w:t xml:space="preserve"> undertaken when developing all new major policies, </w:t>
            </w:r>
            <w:proofErr w:type="gramStart"/>
            <w:r w:rsidRPr="002F1E21">
              <w:rPr>
                <w:rFonts w:ascii="Century Gothic" w:eastAsiaTheme="minorEastAsia" w:hAnsi="Century Gothic" w:cs="Proxima Nova"/>
                <w:lang w:eastAsia="en-GB"/>
              </w:rPr>
              <w:t>processes</w:t>
            </w:r>
            <w:proofErr w:type="gramEnd"/>
            <w:r w:rsidRPr="002F1E21">
              <w:rPr>
                <w:rFonts w:ascii="Century Gothic" w:eastAsiaTheme="minorEastAsia" w:hAnsi="Century Gothic" w:cs="Proxima Nova"/>
                <w:lang w:eastAsia="en-GB"/>
              </w:rPr>
              <w:t xml:space="preserve"> and services at a local level in partnership with Equality Groups  </w:t>
            </w:r>
          </w:p>
        </w:tc>
        <w:tc>
          <w:tcPr>
            <w:tcW w:w="1985" w:type="dxa"/>
            <w:shd w:val="clear" w:color="auto" w:fill="FFFFFF"/>
          </w:tcPr>
          <w:p w14:paraId="69D822DE" w14:textId="735527ED" w:rsidR="00401BA6" w:rsidRPr="002F1E21" w:rsidRDefault="00AF39BA" w:rsidP="00D147C5">
            <w:pPr>
              <w:rPr>
                <w:rFonts w:ascii="Century Gothic" w:hAnsi="Century Gothic"/>
              </w:rPr>
            </w:pPr>
            <w:r>
              <w:rPr>
                <w:rFonts w:ascii="Century Gothic" w:hAnsi="Century Gothic"/>
              </w:rPr>
              <w:t>Self-Evaluation and Continuous Improvement Subgroup</w:t>
            </w:r>
          </w:p>
        </w:tc>
        <w:tc>
          <w:tcPr>
            <w:tcW w:w="4536" w:type="dxa"/>
            <w:shd w:val="clear" w:color="auto" w:fill="FFFFFF"/>
          </w:tcPr>
          <w:p w14:paraId="23BE7BA3" w14:textId="29B6A688" w:rsidR="00401BA6" w:rsidRPr="002F1E21" w:rsidRDefault="00AA604D" w:rsidP="00AA604D">
            <w:pPr>
              <w:rPr>
                <w:rFonts w:ascii="Century Gothic" w:hAnsi="Century Gothic" w:cs="Proxima Nova"/>
              </w:rPr>
            </w:pPr>
            <w:r w:rsidRPr="002F1E21">
              <w:rPr>
                <w:rFonts w:ascii="Century Gothic" w:eastAsiaTheme="minorEastAsia" w:hAnsi="Century Gothic" w:cs="Proxima Nova"/>
                <w:lang w:eastAsia="en-GB"/>
              </w:rPr>
              <w:t xml:space="preserve">Policies, </w:t>
            </w:r>
            <w:proofErr w:type="gramStart"/>
            <w:r w:rsidRPr="002F1E21">
              <w:rPr>
                <w:rFonts w:ascii="Century Gothic" w:eastAsiaTheme="minorEastAsia" w:hAnsi="Century Gothic" w:cs="Proxima Nova"/>
                <w:lang w:eastAsia="en-GB"/>
              </w:rPr>
              <w:t>processes</w:t>
            </w:r>
            <w:proofErr w:type="gramEnd"/>
            <w:r w:rsidRPr="002F1E21">
              <w:rPr>
                <w:rFonts w:ascii="Century Gothic" w:eastAsiaTheme="minorEastAsia" w:hAnsi="Century Gothic" w:cs="Proxima Nova"/>
                <w:lang w:eastAsia="en-GB"/>
              </w:rPr>
              <w:t xml:space="preserve"> and </w:t>
            </w:r>
            <w:r w:rsidR="00042222" w:rsidRPr="002F1E21">
              <w:rPr>
                <w:rFonts w:ascii="Century Gothic" w:eastAsiaTheme="minorEastAsia" w:hAnsi="Century Gothic" w:cs="Proxima Nova"/>
                <w:lang w:eastAsia="en-GB"/>
              </w:rPr>
              <w:t>services do</w:t>
            </w:r>
            <w:r w:rsidRPr="002F1E21">
              <w:rPr>
                <w:rFonts w:ascii="Century Gothic" w:eastAsiaTheme="minorEastAsia" w:hAnsi="Century Gothic" w:cs="Proxima Nova"/>
                <w:lang w:eastAsia="en-GB"/>
              </w:rPr>
              <w:t xml:space="preserve"> not discriminate against women and </w:t>
            </w:r>
            <w:r w:rsidR="00042222" w:rsidRPr="002F1E21">
              <w:rPr>
                <w:rFonts w:ascii="Century Gothic" w:eastAsiaTheme="minorEastAsia" w:hAnsi="Century Gothic" w:cs="Proxima Nova"/>
                <w:lang w:eastAsia="en-GB"/>
              </w:rPr>
              <w:t>are designed to</w:t>
            </w:r>
            <w:r w:rsidRPr="002F1E21">
              <w:rPr>
                <w:rFonts w:ascii="Century Gothic" w:eastAsiaTheme="minorEastAsia" w:hAnsi="Century Gothic" w:cs="Proxima Nova"/>
                <w:lang w:eastAsia="en-GB"/>
              </w:rPr>
              <w:t xml:space="preserve"> promote women’s equality </w:t>
            </w:r>
          </w:p>
        </w:tc>
        <w:tc>
          <w:tcPr>
            <w:tcW w:w="3388" w:type="dxa"/>
            <w:shd w:val="clear" w:color="auto" w:fill="FFFFFF"/>
          </w:tcPr>
          <w:p w14:paraId="5D99DFA6" w14:textId="15EE94A5" w:rsidR="00401BA6" w:rsidRPr="002F1E21" w:rsidRDefault="00401BA6" w:rsidP="00D147C5">
            <w:pPr>
              <w:rPr>
                <w:rFonts w:ascii="Century Gothic" w:hAnsi="Century Gothic"/>
              </w:rPr>
            </w:pPr>
          </w:p>
        </w:tc>
      </w:tr>
    </w:tbl>
    <w:p w14:paraId="39128D6F" w14:textId="77777777" w:rsidR="00AF39BA" w:rsidRPr="002F1E21" w:rsidRDefault="00AF39BA" w:rsidP="00710631">
      <w:pPr>
        <w:rPr>
          <w:rFonts w:ascii="Century Gothic" w:hAnsi="Century Gothic"/>
          <w:b/>
          <w:sz w:val="24"/>
          <w:szCs w:val="24"/>
        </w:rPr>
      </w:pPr>
    </w:p>
    <w:tbl>
      <w:tblPr>
        <w:tblW w:w="15735" w:type="dxa"/>
        <w:tblInd w:w="-885"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1015"/>
        <w:gridCol w:w="566"/>
        <w:gridCol w:w="4114"/>
        <w:gridCol w:w="2126"/>
        <w:gridCol w:w="5387"/>
        <w:gridCol w:w="2527"/>
      </w:tblGrid>
      <w:tr w:rsidR="002F1E21" w:rsidRPr="002F1E21" w14:paraId="46C8F63F" w14:textId="77777777" w:rsidTr="00401BA6">
        <w:tc>
          <w:tcPr>
            <w:tcW w:w="15735" w:type="dxa"/>
            <w:gridSpan w:val="6"/>
            <w:shd w:val="clear" w:color="auto" w:fill="D9D9D9" w:themeFill="background1" w:themeFillShade="D9"/>
          </w:tcPr>
          <w:p w14:paraId="05A5DAD6" w14:textId="51A43049" w:rsidR="00D147C5" w:rsidRPr="002F1E21" w:rsidRDefault="008F33AB" w:rsidP="00D147C5">
            <w:pPr>
              <w:jc w:val="center"/>
              <w:rPr>
                <w:rFonts w:ascii="Century Gothic" w:hAnsi="Century Gothic"/>
                <w:b/>
                <w:sz w:val="28"/>
                <w:szCs w:val="28"/>
              </w:rPr>
            </w:pPr>
            <w:r w:rsidRPr="002F1E21">
              <w:rPr>
                <w:rFonts w:ascii="Century Gothic" w:hAnsi="Century Gothic"/>
                <w:b/>
                <w:sz w:val="28"/>
                <w:szCs w:val="28"/>
              </w:rPr>
              <w:t xml:space="preserve">3. </w:t>
            </w:r>
            <w:r w:rsidR="00D147C5" w:rsidRPr="002F1E21">
              <w:rPr>
                <w:rFonts w:ascii="Century Gothic" w:hAnsi="Century Gothic"/>
                <w:b/>
                <w:sz w:val="28"/>
                <w:szCs w:val="28"/>
              </w:rPr>
              <w:t>Good Practice</w:t>
            </w:r>
          </w:p>
        </w:tc>
      </w:tr>
      <w:tr w:rsidR="002F1E21" w:rsidRPr="002F1E21" w14:paraId="49EAC244" w14:textId="77777777" w:rsidTr="00835B56">
        <w:tc>
          <w:tcPr>
            <w:tcW w:w="1015" w:type="dxa"/>
            <w:tcBorders>
              <w:right w:val="single" w:sz="4" w:space="0" w:color="auto"/>
            </w:tcBorders>
            <w:shd w:val="clear" w:color="auto" w:fill="auto"/>
          </w:tcPr>
          <w:p w14:paraId="47B493C6" w14:textId="0CEE766D" w:rsidR="00D147C5" w:rsidRPr="002F1E21" w:rsidRDefault="00D147C5" w:rsidP="007448EE">
            <w:pPr>
              <w:rPr>
                <w:rFonts w:ascii="Century Gothic" w:hAnsi="Century Gothic"/>
                <w:b/>
                <w:bCs/>
              </w:rPr>
            </w:pPr>
            <w:r w:rsidRPr="002F1E21">
              <w:rPr>
                <w:rFonts w:ascii="Century Gothic" w:hAnsi="Century Gothic"/>
                <w:b/>
                <w:bCs/>
              </w:rPr>
              <w:t>Equally Safe Priority Area</w:t>
            </w:r>
          </w:p>
        </w:tc>
        <w:tc>
          <w:tcPr>
            <w:tcW w:w="566" w:type="dxa"/>
            <w:tcBorders>
              <w:left w:val="single" w:sz="4" w:space="0" w:color="auto"/>
            </w:tcBorders>
            <w:shd w:val="clear" w:color="auto" w:fill="auto"/>
          </w:tcPr>
          <w:p w14:paraId="7F1BD8B2" w14:textId="77777777" w:rsidR="00D147C5" w:rsidRPr="002F1E21" w:rsidRDefault="00D147C5" w:rsidP="007448EE">
            <w:pPr>
              <w:rPr>
                <w:rFonts w:ascii="Century Gothic" w:hAnsi="Century Gothic"/>
                <w:b/>
                <w:bCs/>
              </w:rPr>
            </w:pPr>
          </w:p>
        </w:tc>
        <w:tc>
          <w:tcPr>
            <w:tcW w:w="4114" w:type="dxa"/>
            <w:shd w:val="clear" w:color="auto" w:fill="auto"/>
          </w:tcPr>
          <w:p w14:paraId="7595E712" w14:textId="2DF207B1" w:rsidR="00D147C5" w:rsidRPr="002F1E21" w:rsidRDefault="00CC4AC9" w:rsidP="007448EE">
            <w:pPr>
              <w:rPr>
                <w:rFonts w:ascii="Century Gothic" w:hAnsi="Century Gothic"/>
                <w:b/>
              </w:rPr>
            </w:pPr>
            <w:r w:rsidRPr="002F1E21">
              <w:rPr>
                <w:rFonts w:ascii="Century Gothic" w:hAnsi="Century Gothic"/>
                <w:b/>
                <w:bCs/>
              </w:rPr>
              <w:t>Action</w:t>
            </w:r>
          </w:p>
        </w:tc>
        <w:tc>
          <w:tcPr>
            <w:tcW w:w="2126" w:type="dxa"/>
            <w:shd w:val="clear" w:color="auto" w:fill="auto"/>
          </w:tcPr>
          <w:p w14:paraId="12CE9D12" w14:textId="77777777" w:rsidR="00D147C5" w:rsidRPr="002F1E21" w:rsidRDefault="00D147C5" w:rsidP="007448EE">
            <w:pPr>
              <w:rPr>
                <w:rFonts w:ascii="Century Gothic" w:hAnsi="Century Gothic"/>
                <w:b/>
              </w:rPr>
            </w:pPr>
            <w:r w:rsidRPr="002F1E21">
              <w:rPr>
                <w:rFonts w:ascii="Century Gothic" w:hAnsi="Century Gothic"/>
                <w:b/>
              </w:rPr>
              <w:t>Lead</w:t>
            </w:r>
          </w:p>
        </w:tc>
        <w:tc>
          <w:tcPr>
            <w:tcW w:w="5387" w:type="dxa"/>
            <w:shd w:val="clear" w:color="auto" w:fill="auto"/>
          </w:tcPr>
          <w:p w14:paraId="1B6C7503" w14:textId="11F9DCDD" w:rsidR="00D147C5" w:rsidRPr="002F1E21" w:rsidRDefault="00D147C5" w:rsidP="007448EE">
            <w:pPr>
              <w:rPr>
                <w:rFonts w:ascii="Century Gothic" w:hAnsi="Century Gothic"/>
                <w:b/>
              </w:rPr>
            </w:pPr>
            <w:r w:rsidRPr="002F1E21">
              <w:rPr>
                <w:rFonts w:ascii="Century Gothic" w:hAnsi="Century Gothic"/>
                <w:b/>
              </w:rPr>
              <w:t>Indicator</w:t>
            </w:r>
            <w:r w:rsidR="00CC4AC9" w:rsidRPr="002F1E21">
              <w:rPr>
                <w:rFonts w:ascii="Century Gothic" w:hAnsi="Century Gothic"/>
                <w:b/>
              </w:rPr>
              <w:t>/Outcome</w:t>
            </w:r>
          </w:p>
        </w:tc>
        <w:tc>
          <w:tcPr>
            <w:tcW w:w="2527" w:type="dxa"/>
            <w:shd w:val="clear" w:color="auto" w:fill="auto"/>
          </w:tcPr>
          <w:p w14:paraId="2AD1B3C8" w14:textId="379207EA" w:rsidR="00D147C5" w:rsidRPr="002F1E21" w:rsidRDefault="00D147C5" w:rsidP="007448EE">
            <w:pPr>
              <w:rPr>
                <w:rFonts w:ascii="Century Gothic" w:hAnsi="Century Gothic"/>
                <w:b/>
              </w:rPr>
            </w:pPr>
            <w:r w:rsidRPr="002F1E21">
              <w:rPr>
                <w:rFonts w:ascii="Century Gothic" w:hAnsi="Century Gothic"/>
                <w:b/>
              </w:rPr>
              <w:t>Timescale</w:t>
            </w:r>
            <w:r w:rsidR="00835B56">
              <w:rPr>
                <w:rFonts w:ascii="Century Gothic" w:hAnsi="Century Gothic"/>
                <w:b/>
              </w:rPr>
              <w:t>/update</w:t>
            </w:r>
          </w:p>
        </w:tc>
      </w:tr>
      <w:tr w:rsidR="002F1E21" w:rsidRPr="002F1E21" w14:paraId="34CE27B1" w14:textId="77777777" w:rsidTr="00835B56">
        <w:trPr>
          <w:trHeight w:val="1172"/>
        </w:trPr>
        <w:tc>
          <w:tcPr>
            <w:tcW w:w="1015" w:type="dxa"/>
            <w:tcBorders>
              <w:right w:val="single" w:sz="4" w:space="0" w:color="auto"/>
            </w:tcBorders>
            <w:shd w:val="clear" w:color="auto" w:fill="auto"/>
          </w:tcPr>
          <w:p w14:paraId="4E2B96E6" w14:textId="27DD9513" w:rsidR="00D147C5" w:rsidRPr="002F1E21" w:rsidRDefault="008F33AB" w:rsidP="008F33AB">
            <w:pPr>
              <w:jc w:val="center"/>
              <w:rPr>
                <w:rFonts w:ascii="Century Gothic" w:hAnsi="Century Gothic"/>
                <w:b/>
                <w:bCs/>
              </w:rPr>
            </w:pPr>
            <w:r w:rsidRPr="002F1E21">
              <w:rPr>
                <w:rFonts w:ascii="Century Gothic" w:hAnsi="Century Gothic"/>
                <w:b/>
                <w:bCs/>
              </w:rPr>
              <w:t>3</w:t>
            </w:r>
          </w:p>
        </w:tc>
        <w:tc>
          <w:tcPr>
            <w:tcW w:w="566" w:type="dxa"/>
            <w:tcBorders>
              <w:left w:val="single" w:sz="4" w:space="0" w:color="auto"/>
            </w:tcBorders>
            <w:shd w:val="clear" w:color="auto" w:fill="auto"/>
          </w:tcPr>
          <w:p w14:paraId="50C1AD1F" w14:textId="3AF51BD9" w:rsidR="00D147C5" w:rsidRPr="002F1E21" w:rsidRDefault="00042222" w:rsidP="007448EE">
            <w:pPr>
              <w:rPr>
                <w:rFonts w:ascii="Century Gothic" w:hAnsi="Century Gothic"/>
                <w:b/>
                <w:bCs/>
              </w:rPr>
            </w:pPr>
            <w:r w:rsidRPr="002F1E21">
              <w:rPr>
                <w:rFonts w:ascii="Century Gothic" w:hAnsi="Century Gothic"/>
                <w:b/>
                <w:bCs/>
              </w:rPr>
              <w:t>3.1</w:t>
            </w:r>
          </w:p>
        </w:tc>
        <w:tc>
          <w:tcPr>
            <w:tcW w:w="4114" w:type="dxa"/>
            <w:shd w:val="clear" w:color="auto" w:fill="auto"/>
          </w:tcPr>
          <w:p w14:paraId="7948DA7B" w14:textId="7C68C461" w:rsidR="00DC06A9" w:rsidRPr="002F1E21" w:rsidRDefault="004F43AA" w:rsidP="007448EE">
            <w:pPr>
              <w:rPr>
                <w:rFonts w:ascii="Century Gothic" w:hAnsi="Century Gothic"/>
                <w:b/>
              </w:rPr>
            </w:pPr>
            <w:r w:rsidRPr="002F1E21">
              <w:rPr>
                <w:rFonts w:ascii="Century Gothic" w:hAnsi="Century Gothic" w:cs="Arial"/>
              </w:rPr>
              <w:t>Partners are supported to undertake Routine Enquiry</w:t>
            </w:r>
          </w:p>
        </w:tc>
        <w:tc>
          <w:tcPr>
            <w:tcW w:w="2126" w:type="dxa"/>
            <w:shd w:val="clear" w:color="auto" w:fill="auto"/>
          </w:tcPr>
          <w:p w14:paraId="38E3796B" w14:textId="02959814" w:rsidR="00D147C5" w:rsidRPr="002F1E21" w:rsidRDefault="002F6086" w:rsidP="007448EE">
            <w:pPr>
              <w:rPr>
                <w:rFonts w:ascii="Century Gothic" w:hAnsi="Century Gothic"/>
              </w:rPr>
            </w:pPr>
            <w:r w:rsidRPr="002F1E21">
              <w:rPr>
                <w:rFonts w:ascii="Century Gothic" w:hAnsi="Century Gothic"/>
              </w:rPr>
              <w:t>Practice development Subgroup</w:t>
            </w:r>
          </w:p>
        </w:tc>
        <w:tc>
          <w:tcPr>
            <w:tcW w:w="5387" w:type="dxa"/>
            <w:shd w:val="clear" w:color="auto" w:fill="auto"/>
          </w:tcPr>
          <w:p w14:paraId="4D34083D" w14:textId="0F5A353F" w:rsidR="00D147C5" w:rsidRPr="002F1E21" w:rsidRDefault="000607BA" w:rsidP="00401BA6">
            <w:pPr>
              <w:rPr>
                <w:rFonts w:ascii="Century Gothic" w:eastAsiaTheme="minorEastAsia" w:hAnsi="Century Gothic" w:cs="Proxima Nova"/>
                <w:lang w:eastAsia="en-GB"/>
              </w:rPr>
            </w:pPr>
            <w:r w:rsidRPr="002F1E21">
              <w:rPr>
                <w:rFonts w:ascii="Century Gothic" w:hAnsi="Century Gothic"/>
              </w:rPr>
              <w:t xml:space="preserve">Routine Enquiry is regularly undertaken within the priority settings of maternity, mental health, </w:t>
            </w:r>
            <w:r w:rsidRPr="002F1E21">
              <w:rPr>
                <w:rFonts w:ascii="Century Gothic" w:hAnsi="Century Gothic"/>
              </w:rPr>
              <w:lastRenderedPageBreak/>
              <w:t>substance misuse, A&amp;E, community nursing and sexual health services</w:t>
            </w:r>
          </w:p>
        </w:tc>
        <w:tc>
          <w:tcPr>
            <w:tcW w:w="2527" w:type="dxa"/>
            <w:shd w:val="clear" w:color="auto" w:fill="auto"/>
          </w:tcPr>
          <w:p w14:paraId="602CE15A" w14:textId="7CC939A8" w:rsidR="00D147C5" w:rsidRPr="002F1E21" w:rsidRDefault="00D147C5" w:rsidP="007448EE">
            <w:pPr>
              <w:rPr>
                <w:rFonts w:ascii="Century Gothic" w:hAnsi="Century Gothic"/>
              </w:rPr>
            </w:pPr>
          </w:p>
        </w:tc>
      </w:tr>
      <w:tr w:rsidR="002F1E21" w:rsidRPr="002F1E21" w14:paraId="76D690AB" w14:textId="77777777" w:rsidTr="00835B56">
        <w:trPr>
          <w:trHeight w:val="3358"/>
        </w:trPr>
        <w:tc>
          <w:tcPr>
            <w:tcW w:w="1015" w:type="dxa"/>
            <w:tcBorders>
              <w:right w:val="single" w:sz="4" w:space="0" w:color="auto"/>
            </w:tcBorders>
            <w:shd w:val="clear" w:color="auto" w:fill="auto"/>
          </w:tcPr>
          <w:p w14:paraId="3D9CB940" w14:textId="7AACCA4C" w:rsidR="004F43AA" w:rsidRPr="002F1E21" w:rsidRDefault="008F33AB" w:rsidP="008F33AB">
            <w:pPr>
              <w:jc w:val="center"/>
              <w:rPr>
                <w:rFonts w:ascii="Century Gothic" w:hAnsi="Century Gothic"/>
                <w:b/>
                <w:bCs/>
              </w:rPr>
            </w:pPr>
            <w:r w:rsidRPr="002F1E21">
              <w:rPr>
                <w:rFonts w:ascii="Century Gothic" w:hAnsi="Century Gothic"/>
                <w:b/>
                <w:bCs/>
              </w:rPr>
              <w:t>3</w:t>
            </w:r>
          </w:p>
        </w:tc>
        <w:tc>
          <w:tcPr>
            <w:tcW w:w="566" w:type="dxa"/>
            <w:tcBorders>
              <w:left w:val="single" w:sz="4" w:space="0" w:color="auto"/>
            </w:tcBorders>
            <w:shd w:val="clear" w:color="auto" w:fill="auto"/>
          </w:tcPr>
          <w:p w14:paraId="407BA5CA" w14:textId="6B789005" w:rsidR="004F43AA" w:rsidRPr="002F1E21" w:rsidRDefault="00042222" w:rsidP="007448EE">
            <w:pPr>
              <w:rPr>
                <w:rFonts w:ascii="Century Gothic" w:hAnsi="Century Gothic"/>
                <w:b/>
                <w:bCs/>
              </w:rPr>
            </w:pPr>
            <w:r w:rsidRPr="002F1E21">
              <w:rPr>
                <w:rFonts w:ascii="Century Gothic" w:hAnsi="Century Gothic"/>
                <w:b/>
                <w:bCs/>
              </w:rPr>
              <w:t>3.2</w:t>
            </w:r>
          </w:p>
        </w:tc>
        <w:tc>
          <w:tcPr>
            <w:tcW w:w="4114" w:type="dxa"/>
            <w:shd w:val="clear" w:color="auto" w:fill="auto"/>
          </w:tcPr>
          <w:p w14:paraId="6294128B" w14:textId="6E8E35FB" w:rsidR="004F43AA" w:rsidRPr="002F1E21" w:rsidRDefault="004F43AA" w:rsidP="007448EE">
            <w:pPr>
              <w:rPr>
                <w:rFonts w:ascii="Century Gothic" w:hAnsi="Century Gothic" w:cs="Arial"/>
              </w:rPr>
            </w:pPr>
            <w:r w:rsidRPr="002F1E21">
              <w:rPr>
                <w:rFonts w:ascii="Century Gothic" w:hAnsi="Century Gothic" w:cs="Arial"/>
              </w:rPr>
              <w:t xml:space="preserve">Specialist advocacy services are available for all women and girls affected by </w:t>
            </w:r>
            <w:r w:rsidR="00042222" w:rsidRPr="002F1E21">
              <w:rPr>
                <w:rFonts w:ascii="Century Gothic" w:hAnsi="Century Gothic" w:cs="Arial"/>
              </w:rPr>
              <w:t>GBV</w:t>
            </w:r>
            <w:r w:rsidRPr="002F1E21">
              <w:rPr>
                <w:rFonts w:ascii="Century Gothic" w:hAnsi="Century Gothic" w:cs="Arial"/>
              </w:rPr>
              <w:t xml:space="preserve"> to enable them to address their support needs, take control of their lives and make informed decisions about their future.</w:t>
            </w:r>
          </w:p>
        </w:tc>
        <w:tc>
          <w:tcPr>
            <w:tcW w:w="2126" w:type="dxa"/>
            <w:shd w:val="clear" w:color="auto" w:fill="auto"/>
          </w:tcPr>
          <w:p w14:paraId="25C07101" w14:textId="77777777" w:rsidR="002F6086" w:rsidRPr="002F1E21" w:rsidRDefault="002F6086" w:rsidP="007448EE">
            <w:pPr>
              <w:rPr>
                <w:rFonts w:ascii="Century Gothic" w:hAnsi="Century Gothic"/>
              </w:rPr>
            </w:pPr>
            <w:r w:rsidRPr="002F1E21">
              <w:rPr>
                <w:rFonts w:ascii="Century Gothic" w:hAnsi="Century Gothic"/>
              </w:rPr>
              <w:t xml:space="preserve">AVAWP </w:t>
            </w:r>
          </w:p>
          <w:p w14:paraId="6598485E" w14:textId="5F00A75A" w:rsidR="004F43AA" w:rsidRPr="002F1E21" w:rsidRDefault="002F6086" w:rsidP="007448EE">
            <w:pPr>
              <w:rPr>
                <w:rFonts w:ascii="Century Gothic" w:hAnsi="Century Gothic"/>
              </w:rPr>
            </w:pPr>
            <w:r w:rsidRPr="002F1E21">
              <w:rPr>
                <w:rFonts w:ascii="Century Gothic" w:hAnsi="Century Gothic"/>
              </w:rPr>
              <w:t>Specialist services</w:t>
            </w:r>
          </w:p>
        </w:tc>
        <w:tc>
          <w:tcPr>
            <w:tcW w:w="5387" w:type="dxa"/>
            <w:shd w:val="clear" w:color="auto" w:fill="auto"/>
          </w:tcPr>
          <w:p w14:paraId="5EA0A382" w14:textId="77777777" w:rsidR="004F43AA" w:rsidRPr="002F1E21" w:rsidRDefault="004F43AA" w:rsidP="004F43AA">
            <w:pPr>
              <w:rPr>
                <w:rFonts w:ascii="Century Gothic" w:hAnsi="Century Gothic" w:cs="Arial"/>
              </w:rPr>
            </w:pPr>
            <w:r w:rsidRPr="002F1E21">
              <w:rPr>
                <w:rFonts w:ascii="Century Gothic" w:hAnsi="Century Gothic" w:cs="Arial"/>
              </w:rPr>
              <w:t xml:space="preserve">Support provided by advocacy services should include1 to 1 and group </w:t>
            </w:r>
            <w:proofErr w:type="gramStart"/>
            <w:r w:rsidRPr="002F1E21">
              <w:rPr>
                <w:rFonts w:ascii="Century Gothic" w:hAnsi="Century Gothic" w:cs="Arial"/>
              </w:rPr>
              <w:t>work;</w:t>
            </w:r>
            <w:proofErr w:type="gramEnd"/>
          </w:p>
          <w:p w14:paraId="53AD9F65" w14:textId="77777777" w:rsidR="004F43AA" w:rsidRPr="002F1E21" w:rsidRDefault="004F43AA" w:rsidP="004F43AA">
            <w:pPr>
              <w:rPr>
                <w:rFonts w:ascii="Century Gothic" w:hAnsi="Century Gothic" w:cs="Arial"/>
              </w:rPr>
            </w:pPr>
            <w:r w:rsidRPr="002F1E21">
              <w:rPr>
                <w:rFonts w:ascii="Century Gothic" w:hAnsi="Century Gothic" w:cs="Arial"/>
              </w:rPr>
              <w:t xml:space="preserve">• Safety </w:t>
            </w:r>
            <w:proofErr w:type="gramStart"/>
            <w:r w:rsidRPr="002F1E21">
              <w:rPr>
                <w:rFonts w:ascii="Century Gothic" w:hAnsi="Century Gothic" w:cs="Arial"/>
              </w:rPr>
              <w:t>planning;</w:t>
            </w:r>
            <w:proofErr w:type="gramEnd"/>
          </w:p>
          <w:p w14:paraId="46C8D87B" w14:textId="77777777" w:rsidR="004F43AA" w:rsidRPr="002F1E21" w:rsidRDefault="004F43AA" w:rsidP="004F43AA">
            <w:pPr>
              <w:rPr>
                <w:rFonts w:ascii="Century Gothic" w:hAnsi="Century Gothic" w:cs="Arial"/>
              </w:rPr>
            </w:pPr>
            <w:r w:rsidRPr="002F1E21">
              <w:rPr>
                <w:rFonts w:ascii="Century Gothic" w:hAnsi="Century Gothic" w:cs="Arial"/>
              </w:rPr>
              <w:t>• Help through the criminal justice system; and</w:t>
            </w:r>
          </w:p>
          <w:p w14:paraId="2225CB04" w14:textId="77777777" w:rsidR="004F43AA" w:rsidRPr="002F1E21" w:rsidRDefault="004F43AA" w:rsidP="004F43AA">
            <w:pPr>
              <w:rPr>
                <w:rFonts w:ascii="Century Gothic" w:hAnsi="Century Gothic" w:cs="Arial"/>
              </w:rPr>
            </w:pPr>
            <w:r w:rsidRPr="002F1E21">
              <w:rPr>
                <w:rFonts w:ascii="Century Gothic" w:hAnsi="Century Gothic" w:cs="Arial"/>
              </w:rPr>
              <w:t>• Support finding and contacting support services</w:t>
            </w:r>
          </w:p>
          <w:p w14:paraId="1E1D313E" w14:textId="0F91BED5" w:rsidR="004F43AA" w:rsidRPr="002F1E21" w:rsidRDefault="00042222" w:rsidP="004F43AA">
            <w:pPr>
              <w:rPr>
                <w:rFonts w:ascii="Century Gothic" w:eastAsiaTheme="minorEastAsia" w:hAnsi="Century Gothic" w:cs="Proxima Nova"/>
                <w:lang w:eastAsia="en-GB"/>
              </w:rPr>
            </w:pPr>
            <w:r w:rsidRPr="002F1E21">
              <w:rPr>
                <w:rFonts w:ascii="Century Gothic" w:hAnsi="Century Gothic"/>
              </w:rPr>
              <w:t xml:space="preserve">High-quality, targeted interventions are in place to engage with women and children affected by GBV who many </w:t>
            </w:r>
            <w:proofErr w:type="gramStart"/>
            <w:r w:rsidRPr="002F1E21">
              <w:rPr>
                <w:rFonts w:ascii="Century Gothic" w:hAnsi="Century Gothic"/>
              </w:rPr>
              <w:t>experience</w:t>
            </w:r>
            <w:proofErr w:type="gramEnd"/>
            <w:r w:rsidRPr="002F1E21">
              <w:rPr>
                <w:rFonts w:ascii="Century Gothic" w:hAnsi="Century Gothic"/>
              </w:rPr>
              <w:t xml:space="preserve"> additional barriers as a result of race, sexuality, age or disability</w:t>
            </w:r>
          </w:p>
        </w:tc>
        <w:tc>
          <w:tcPr>
            <w:tcW w:w="2527" w:type="dxa"/>
            <w:shd w:val="clear" w:color="auto" w:fill="auto"/>
          </w:tcPr>
          <w:p w14:paraId="60F6CAFF" w14:textId="77777777" w:rsidR="004F43AA" w:rsidRPr="002F1E21" w:rsidRDefault="004F43AA" w:rsidP="007448EE">
            <w:pPr>
              <w:rPr>
                <w:rFonts w:ascii="Century Gothic" w:hAnsi="Century Gothic"/>
              </w:rPr>
            </w:pPr>
          </w:p>
        </w:tc>
      </w:tr>
      <w:tr w:rsidR="002F1E21" w:rsidRPr="002F1E21" w14:paraId="57E29839" w14:textId="77777777" w:rsidTr="00835B56">
        <w:tc>
          <w:tcPr>
            <w:tcW w:w="1015" w:type="dxa"/>
            <w:tcBorders>
              <w:right w:val="single" w:sz="4" w:space="0" w:color="auto"/>
            </w:tcBorders>
            <w:shd w:val="clear" w:color="auto" w:fill="auto"/>
          </w:tcPr>
          <w:p w14:paraId="7C7B8481" w14:textId="51D9C1FD" w:rsidR="00D147C5" w:rsidRPr="002F1E21" w:rsidRDefault="008F33AB" w:rsidP="008F33AB">
            <w:pPr>
              <w:jc w:val="center"/>
              <w:rPr>
                <w:rFonts w:ascii="Century Gothic" w:hAnsi="Century Gothic"/>
                <w:b/>
                <w:bCs/>
              </w:rPr>
            </w:pPr>
            <w:r w:rsidRPr="002F1E21">
              <w:rPr>
                <w:rFonts w:ascii="Century Gothic" w:hAnsi="Century Gothic"/>
                <w:b/>
                <w:bCs/>
              </w:rPr>
              <w:t>3</w:t>
            </w:r>
          </w:p>
        </w:tc>
        <w:tc>
          <w:tcPr>
            <w:tcW w:w="566" w:type="dxa"/>
            <w:tcBorders>
              <w:left w:val="single" w:sz="4" w:space="0" w:color="auto"/>
            </w:tcBorders>
            <w:shd w:val="clear" w:color="auto" w:fill="auto"/>
          </w:tcPr>
          <w:p w14:paraId="7DE191CF" w14:textId="3648F5A2" w:rsidR="00D147C5" w:rsidRPr="002F1E21" w:rsidRDefault="00042222" w:rsidP="00D147C5">
            <w:pPr>
              <w:rPr>
                <w:rFonts w:ascii="Century Gothic" w:hAnsi="Century Gothic"/>
                <w:b/>
                <w:bCs/>
              </w:rPr>
            </w:pPr>
            <w:r w:rsidRPr="002F1E21">
              <w:rPr>
                <w:rFonts w:ascii="Century Gothic" w:hAnsi="Century Gothic"/>
                <w:b/>
                <w:bCs/>
              </w:rPr>
              <w:t>3.3</w:t>
            </w:r>
          </w:p>
        </w:tc>
        <w:tc>
          <w:tcPr>
            <w:tcW w:w="4114" w:type="dxa"/>
            <w:shd w:val="clear" w:color="auto" w:fill="auto"/>
          </w:tcPr>
          <w:p w14:paraId="29975222" w14:textId="6A4AF0E4" w:rsidR="00D147C5" w:rsidRPr="002F1E21" w:rsidRDefault="002F6086" w:rsidP="007448EE">
            <w:pPr>
              <w:rPr>
                <w:rFonts w:ascii="Century Gothic" w:hAnsi="Century Gothic" w:cs="Arial"/>
              </w:rPr>
            </w:pPr>
            <w:r w:rsidRPr="002F1E21">
              <w:rPr>
                <w:rFonts w:ascii="Century Gothic" w:hAnsi="Century Gothic" w:cs="Arial"/>
              </w:rPr>
              <w:t xml:space="preserve">Regular </w:t>
            </w:r>
            <w:r w:rsidR="00042222" w:rsidRPr="002F1E21">
              <w:rPr>
                <w:rFonts w:ascii="Century Gothic" w:hAnsi="Century Gothic" w:cs="Arial"/>
              </w:rPr>
              <w:t>MARACs</w:t>
            </w:r>
            <w:r w:rsidRPr="002F1E21">
              <w:rPr>
                <w:rFonts w:ascii="Century Gothic" w:hAnsi="Century Gothic" w:cs="Arial"/>
              </w:rPr>
              <w:t xml:space="preserve"> </w:t>
            </w:r>
            <w:r w:rsidR="007A6506" w:rsidRPr="002F1E21">
              <w:rPr>
                <w:rFonts w:ascii="Century Gothic" w:hAnsi="Century Gothic" w:cs="Arial"/>
              </w:rPr>
              <w:t>are taking</w:t>
            </w:r>
            <w:r w:rsidR="00042222" w:rsidRPr="002F1E21">
              <w:rPr>
                <w:rFonts w:ascii="Century Gothic" w:hAnsi="Century Gothic" w:cs="Arial"/>
              </w:rPr>
              <w:t xml:space="preserve"> place</w:t>
            </w:r>
            <w:r w:rsidRPr="002F1E21">
              <w:rPr>
                <w:rFonts w:ascii="Century Gothic" w:hAnsi="Century Gothic" w:cs="Arial"/>
              </w:rPr>
              <w:t xml:space="preserve"> in Angus that follow the Safe lives principles </w:t>
            </w:r>
          </w:p>
        </w:tc>
        <w:tc>
          <w:tcPr>
            <w:tcW w:w="2126" w:type="dxa"/>
            <w:shd w:val="clear" w:color="auto" w:fill="auto"/>
          </w:tcPr>
          <w:p w14:paraId="2D36B333" w14:textId="48E050FD" w:rsidR="00D147C5" w:rsidRPr="002F1E21" w:rsidRDefault="00D147C5" w:rsidP="007448EE">
            <w:pPr>
              <w:rPr>
                <w:rFonts w:ascii="Century Gothic" w:hAnsi="Century Gothic"/>
              </w:rPr>
            </w:pPr>
            <w:r w:rsidRPr="002F1E21">
              <w:rPr>
                <w:rFonts w:ascii="Century Gothic" w:hAnsi="Century Gothic"/>
              </w:rPr>
              <w:t xml:space="preserve">Tayside MARAC </w:t>
            </w:r>
            <w:r w:rsidR="007A6506" w:rsidRPr="002F1E21">
              <w:rPr>
                <w:rFonts w:ascii="Century Gothic" w:hAnsi="Century Gothic"/>
              </w:rPr>
              <w:t xml:space="preserve">Steering </w:t>
            </w:r>
            <w:r w:rsidRPr="002F1E21">
              <w:rPr>
                <w:rFonts w:ascii="Century Gothic" w:hAnsi="Century Gothic"/>
              </w:rPr>
              <w:t>Group</w:t>
            </w:r>
          </w:p>
        </w:tc>
        <w:tc>
          <w:tcPr>
            <w:tcW w:w="5387" w:type="dxa"/>
            <w:shd w:val="clear" w:color="auto" w:fill="auto"/>
          </w:tcPr>
          <w:p w14:paraId="268584FE" w14:textId="77777777" w:rsidR="00D147C5" w:rsidRPr="002F1E21" w:rsidRDefault="00D147C5" w:rsidP="007448EE">
            <w:pPr>
              <w:rPr>
                <w:rFonts w:ascii="Century Gothic" w:hAnsi="Century Gothic"/>
              </w:rPr>
            </w:pPr>
            <w:r w:rsidRPr="002F1E21">
              <w:rPr>
                <w:rFonts w:ascii="Century Gothic" w:hAnsi="Century Gothic"/>
              </w:rPr>
              <w:t>The Safe Lives’ 10 Principles for an Effective MARAC are met</w:t>
            </w:r>
          </w:p>
        </w:tc>
        <w:tc>
          <w:tcPr>
            <w:tcW w:w="2527" w:type="dxa"/>
            <w:shd w:val="clear" w:color="auto" w:fill="auto"/>
          </w:tcPr>
          <w:p w14:paraId="6B4BD977" w14:textId="58084407" w:rsidR="00D147C5" w:rsidRPr="002F1E21" w:rsidRDefault="00D147C5" w:rsidP="007448EE">
            <w:pPr>
              <w:rPr>
                <w:rFonts w:ascii="Century Gothic" w:hAnsi="Century Gothic"/>
              </w:rPr>
            </w:pPr>
          </w:p>
        </w:tc>
      </w:tr>
      <w:tr w:rsidR="002F1E21" w:rsidRPr="002F1E21" w14:paraId="702B87EB" w14:textId="77777777" w:rsidTr="00835B56">
        <w:tc>
          <w:tcPr>
            <w:tcW w:w="1015" w:type="dxa"/>
            <w:tcBorders>
              <w:right w:val="single" w:sz="4" w:space="0" w:color="auto"/>
            </w:tcBorders>
            <w:shd w:val="clear" w:color="auto" w:fill="auto"/>
          </w:tcPr>
          <w:p w14:paraId="5F293FF9" w14:textId="29F3F4D5" w:rsidR="006F1A74" w:rsidRPr="002F1E21" w:rsidRDefault="008F33AB" w:rsidP="008F33AB">
            <w:pPr>
              <w:jc w:val="center"/>
              <w:rPr>
                <w:rFonts w:ascii="Century Gothic" w:hAnsi="Century Gothic"/>
                <w:b/>
                <w:bCs/>
              </w:rPr>
            </w:pPr>
            <w:r w:rsidRPr="002F1E21">
              <w:rPr>
                <w:rFonts w:ascii="Century Gothic" w:hAnsi="Century Gothic"/>
                <w:b/>
                <w:bCs/>
              </w:rPr>
              <w:t>4</w:t>
            </w:r>
          </w:p>
        </w:tc>
        <w:tc>
          <w:tcPr>
            <w:tcW w:w="566" w:type="dxa"/>
            <w:tcBorders>
              <w:left w:val="single" w:sz="4" w:space="0" w:color="auto"/>
            </w:tcBorders>
            <w:shd w:val="clear" w:color="auto" w:fill="auto"/>
          </w:tcPr>
          <w:p w14:paraId="4C882413" w14:textId="61AA95B1" w:rsidR="006F1A74" w:rsidRPr="002F1E21" w:rsidRDefault="008F33AB" w:rsidP="00D147C5">
            <w:pPr>
              <w:rPr>
                <w:rFonts w:ascii="Century Gothic" w:hAnsi="Century Gothic"/>
                <w:b/>
                <w:bCs/>
              </w:rPr>
            </w:pPr>
            <w:r w:rsidRPr="002F1E21">
              <w:rPr>
                <w:rFonts w:ascii="Century Gothic" w:hAnsi="Century Gothic"/>
                <w:b/>
                <w:bCs/>
              </w:rPr>
              <w:t>3.4</w:t>
            </w:r>
          </w:p>
        </w:tc>
        <w:tc>
          <w:tcPr>
            <w:tcW w:w="4114" w:type="dxa"/>
            <w:shd w:val="clear" w:color="auto" w:fill="auto"/>
          </w:tcPr>
          <w:p w14:paraId="1DDCC6F8" w14:textId="6C577A45" w:rsidR="006F1A74" w:rsidRPr="002F1E21" w:rsidRDefault="007A6506" w:rsidP="007448EE">
            <w:pPr>
              <w:rPr>
                <w:rFonts w:ascii="Century Gothic" w:hAnsi="Century Gothic" w:cs="Arial"/>
              </w:rPr>
            </w:pPr>
            <w:r w:rsidRPr="002F1E21">
              <w:rPr>
                <w:rFonts w:ascii="Century Gothic" w:hAnsi="Century Gothic" w:cs="Arial"/>
              </w:rPr>
              <w:t>Regular MATAC meetings are taking place and any identified issues or trends are shared with AVAWP</w:t>
            </w:r>
          </w:p>
        </w:tc>
        <w:tc>
          <w:tcPr>
            <w:tcW w:w="2126" w:type="dxa"/>
            <w:shd w:val="clear" w:color="auto" w:fill="auto"/>
          </w:tcPr>
          <w:p w14:paraId="39C9D84F" w14:textId="10427BFE" w:rsidR="006F1A74" w:rsidRPr="002F1E21" w:rsidRDefault="007A6506" w:rsidP="007448EE">
            <w:pPr>
              <w:rPr>
                <w:rFonts w:ascii="Century Gothic" w:hAnsi="Century Gothic"/>
              </w:rPr>
            </w:pPr>
            <w:r w:rsidRPr="002F1E21">
              <w:rPr>
                <w:rFonts w:ascii="Century Gothic" w:hAnsi="Century Gothic"/>
              </w:rPr>
              <w:t>Police Scotland</w:t>
            </w:r>
          </w:p>
        </w:tc>
        <w:tc>
          <w:tcPr>
            <w:tcW w:w="5387" w:type="dxa"/>
            <w:shd w:val="clear" w:color="auto" w:fill="auto"/>
          </w:tcPr>
          <w:p w14:paraId="0F7C1BBB" w14:textId="29D2BDAC" w:rsidR="006F1A74" w:rsidRPr="002F1E21" w:rsidRDefault="006F1A74" w:rsidP="007448EE">
            <w:pPr>
              <w:rPr>
                <w:rFonts w:ascii="Century Gothic" w:hAnsi="Century Gothic"/>
              </w:rPr>
            </w:pPr>
            <w:r w:rsidRPr="002F1E21">
              <w:rPr>
                <w:rFonts w:ascii="Century Gothic" w:hAnsi="Century Gothic"/>
              </w:rPr>
              <w:t>Multi-Agency Tasking and Coordination (MATAC) groups are in place at a local authority level, to identify high risk perpetrators of domestic abuse and ensure they are held to account for their behaviours.</w:t>
            </w:r>
          </w:p>
        </w:tc>
        <w:tc>
          <w:tcPr>
            <w:tcW w:w="2527" w:type="dxa"/>
            <w:shd w:val="clear" w:color="auto" w:fill="auto"/>
          </w:tcPr>
          <w:p w14:paraId="27407DEC" w14:textId="77777777" w:rsidR="006F1A74" w:rsidRPr="002F1E21" w:rsidRDefault="006F1A74" w:rsidP="007448EE">
            <w:pPr>
              <w:rPr>
                <w:rFonts w:ascii="Century Gothic" w:hAnsi="Century Gothic"/>
              </w:rPr>
            </w:pPr>
          </w:p>
        </w:tc>
      </w:tr>
      <w:tr w:rsidR="002F1E21" w:rsidRPr="002F1E21" w14:paraId="41C05E72" w14:textId="77777777" w:rsidTr="00835B56">
        <w:tc>
          <w:tcPr>
            <w:tcW w:w="1015" w:type="dxa"/>
            <w:tcBorders>
              <w:right w:val="single" w:sz="4" w:space="0" w:color="auto"/>
            </w:tcBorders>
            <w:shd w:val="clear" w:color="auto" w:fill="auto"/>
          </w:tcPr>
          <w:p w14:paraId="284612AA" w14:textId="36FB9528" w:rsidR="00042222" w:rsidRPr="002F1E21" w:rsidRDefault="008F33AB" w:rsidP="008F33AB">
            <w:pPr>
              <w:jc w:val="center"/>
              <w:rPr>
                <w:rFonts w:ascii="Century Gothic" w:hAnsi="Century Gothic"/>
                <w:b/>
                <w:bCs/>
              </w:rPr>
            </w:pPr>
            <w:r w:rsidRPr="002F1E21">
              <w:rPr>
                <w:rFonts w:ascii="Century Gothic" w:hAnsi="Century Gothic"/>
                <w:b/>
                <w:bCs/>
              </w:rPr>
              <w:lastRenderedPageBreak/>
              <w:t>1,2,3,4</w:t>
            </w:r>
          </w:p>
        </w:tc>
        <w:tc>
          <w:tcPr>
            <w:tcW w:w="566" w:type="dxa"/>
            <w:tcBorders>
              <w:left w:val="single" w:sz="4" w:space="0" w:color="auto"/>
            </w:tcBorders>
            <w:shd w:val="clear" w:color="auto" w:fill="auto"/>
          </w:tcPr>
          <w:p w14:paraId="2346BE95" w14:textId="08B92465" w:rsidR="00042222" w:rsidRPr="002F1E21" w:rsidRDefault="008F33AB" w:rsidP="00D147C5">
            <w:pPr>
              <w:rPr>
                <w:rFonts w:ascii="Century Gothic" w:hAnsi="Century Gothic"/>
                <w:b/>
                <w:bCs/>
              </w:rPr>
            </w:pPr>
            <w:r w:rsidRPr="002F1E21">
              <w:rPr>
                <w:rFonts w:ascii="Century Gothic" w:hAnsi="Century Gothic"/>
                <w:b/>
                <w:bCs/>
              </w:rPr>
              <w:t>3.5</w:t>
            </w:r>
          </w:p>
        </w:tc>
        <w:tc>
          <w:tcPr>
            <w:tcW w:w="4114" w:type="dxa"/>
            <w:shd w:val="clear" w:color="auto" w:fill="auto"/>
          </w:tcPr>
          <w:p w14:paraId="6C0A14CC" w14:textId="4C640653" w:rsidR="00042222" w:rsidRPr="002F1E21" w:rsidRDefault="00042222" w:rsidP="007448EE">
            <w:pPr>
              <w:rPr>
                <w:rFonts w:ascii="Century Gothic" w:hAnsi="Century Gothic" w:cs="Arial"/>
              </w:rPr>
            </w:pPr>
            <w:r w:rsidRPr="002F1E21">
              <w:rPr>
                <w:rFonts w:ascii="Century Gothic" w:hAnsi="Century Gothic" w:cs="Arial"/>
              </w:rPr>
              <w:t xml:space="preserve">National and local learning from GBV cases, trends, </w:t>
            </w:r>
            <w:proofErr w:type="gramStart"/>
            <w:r w:rsidRPr="002F1E21">
              <w:rPr>
                <w:rFonts w:ascii="Century Gothic" w:hAnsi="Century Gothic" w:cs="Arial"/>
              </w:rPr>
              <w:t>intelligence</w:t>
            </w:r>
            <w:proofErr w:type="gramEnd"/>
            <w:r w:rsidRPr="002F1E21">
              <w:rPr>
                <w:rFonts w:ascii="Century Gothic" w:hAnsi="Century Gothic" w:cs="Arial"/>
              </w:rPr>
              <w:t xml:space="preserve"> and research are collated and shared to promote knowledge, </w:t>
            </w:r>
            <w:r w:rsidR="00AD5211" w:rsidRPr="002F1E21">
              <w:rPr>
                <w:rFonts w:ascii="Century Gothic" w:hAnsi="Century Gothic" w:cs="Arial"/>
              </w:rPr>
              <w:t xml:space="preserve">learning and the understanding and development of </w:t>
            </w:r>
            <w:r w:rsidRPr="002F1E21">
              <w:rPr>
                <w:rFonts w:ascii="Century Gothic" w:hAnsi="Century Gothic" w:cs="Arial"/>
              </w:rPr>
              <w:t xml:space="preserve">good practice </w:t>
            </w:r>
          </w:p>
        </w:tc>
        <w:tc>
          <w:tcPr>
            <w:tcW w:w="2126" w:type="dxa"/>
            <w:shd w:val="clear" w:color="auto" w:fill="auto"/>
          </w:tcPr>
          <w:p w14:paraId="59CCB890" w14:textId="74C0F19C" w:rsidR="00042222" w:rsidRPr="002F1E21" w:rsidRDefault="007A6506" w:rsidP="007448EE">
            <w:pPr>
              <w:rPr>
                <w:rFonts w:ascii="Century Gothic" w:hAnsi="Century Gothic"/>
              </w:rPr>
            </w:pPr>
            <w:r w:rsidRPr="002F1E21">
              <w:rPr>
                <w:rFonts w:ascii="Century Gothic" w:hAnsi="Century Gothic"/>
              </w:rPr>
              <w:t>Practice Development Subgroup</w:t>
            </w:r>
          </w:p>
        </w:tc>
        <w:tc>
          <w:tcPr>
            <w:tcW w:w="5387" w:type="dxa"/>
            <w:shd w:val="clear" w:color="auto" w:fill="auto"/>
          </w:tcPr>
          <w:p w14:paraId="087E75DB" w14:textId="0CE44760" w:rsidR="00042222" w:rsidRPr="002F1E21" w:rsidRDefault="00042222" w:rsidP="007448EE">
            <w:pPr>
              <w:rPr>
                <w:rFonts w:ascii="Century Gothic" w:hAnsi="Century Gothic"/>
              </w:rPr>
            </w:pPr>
            <w:r w:rsidRPr="002F1E21">
              <w:rPr>
                <w:rFonts w:ascii="Century Gothic" w:hAnsi="Century Gothic"/>
              </w:rPr>
              <w:t>Dissemination of good practice</w:t>
            </w:r>
          </w:p>
          <w:p w14:paraId="1B6B9965" w14:textId="77777777" w:rsidR="00042222" w:rsidRPr="002F1E21" w:rsidRDefault="00042222" w:rsidP="007448EE">
            <w:pPr>
              <w:rPr>
                <w:rFonts w:ascii="Century Gothic" w:hAnsi="Century Gothic"/>
              </w:rPr>
            </w:pPr>
            <w:r w:rsidRPr="002F1E21">
              <w:rPr>
                <w:rFonts w:ascii="Century Gothic" w:hAnsi="Century Gothic"/>
              </w:rPr>
              <w:t>Learning for practitioners is accessible and relevant</w:t>
            </w:r>
          </w:p>
          <w:p w14:paraId="1DD1603B" w14:textId="5FD22311" w:rsidR="00042222" w:rsidRPr="002F1E21" w:rsidRDefault="00042222" w:rsidP="007448EE">
            <w:pPr>
              <w:rPr>
                <w:rFonts w:ascii="Century Gothic" w:hAnsi="Century Gothic"/>
              </w:rPr>
            </w:pPr>
            <w:r w:rsidRPr="002F1E21">
              <w:rPr>
                <w:rFonts w:ascii="Century Gothic" w:hAnsi="Century Gothic"/>
              </w:rPr>
              <w:t>Summaries of case reviews are developed for sharing (7 min briefing)</w:t>
            </w:r>
          </w:p>
        </w:tc>
        <w:tc>
          <w:tcPr>
            <w:tcW w:w="2527" w:type="dxa"/>
            <w:shd w:val="clear" w:color="auto" w:fill="auto"/>
          </w:tcPr>
          <w:p w14:paraId="04656AD7" w14:textId="4EB5D951" w:rsidR="00042222" w:rsidRPr="002F1E21" w:rsidRDefault="00042222" w:rsidP="007448EE">
            <w:pPr>
              <w:rPr>
                <w:rFonts w:ascii="Century Gothic" w:hAnsi="Century Gothic"/>
              </w:rPr>
            </w:pPr>
          </w:p>
        </w:tc>
      </w:tr>
      <w:tr w:rsidR="002F1E21" w:rsidRPr="002F1E21" w14:paraId="69FC8992" w14:textId="77777777" w:rsidTr="00835B56">
        <w:tc>
          <w:tcPr>
            <w:tcW w:w="1015" w:type="dxa"/>
            <w:tcBorders>
              <w:right w:val="single" w:sz="4" w:space="0" w:color="auto"/>
            </w:tcBorders>
            <w:shd w:val="clear" w:color="auto" w:fill="auto"/>
          </w:tcPr>
          <w:p w14:paraId="1625EF37" w14:textId="6BBEB428" w:rsidR="00042222" w:rsidRPr="002F1E21" w:rsidRDefault="008F33AB" w:rsidP="008F33AB">
            <w:pPr>
              <w:jc w:val="center"/>
              <w:rPr>
                <w:rFonts w:ascii="Century Gothic" w:hAnsi="Century Gothic"/>
                <w:b/>
                <w:bCs/>
              </w:rPr>
            </w:pPr>
            <w:r w:rsidRPr="002F1E21">
              <w:rPr>
                <w:rFonts w:ascii="Century Gothic" w:hAnsi="Century Gothic"/>
                <w:b/>
                <w:bCs/>
              </w:rPr>
              <w:t>1,2,3,4</w:t>
            </w:r>
          </w:p>
        </w:tc>
        <w:tc>
          <w:tcPr>
            <w:tcW w:w="566" w:type="dxa"/>
            <w:tcBorders>
              <w:left w:val="single" w:sz="4" w:space="0" w:color="auto"/>
            </w:tcBorders>
            <w:shd w:val="clear" w:color="auto" w:fill="auto"/>
          </w:tcPr>
          <w:p w14:paraId="4856D1DE" w14:textId="473F0F4E" w:rsidR="00042222" w:rsidRPr="002F1E21" w:rsidRDefault="008F33AB" w:rsidP="00D147C5">
            <w:pPr>
              <w:rPr>
                <w:rFonts w:ascii="Century Gothic" w:hAnsi="Century Gothic"/>
                <w:b/>
                <w:bCs/>
              </w:rPr>
            </w:pPr>
            <w:r w:rsidRPr="002F1E21">
              <w:rPr>
                <w:rFonts w:ascii="Century Gothic" w:hAnsi="Century Gothic"/>
                <w:b/>
                <w:bCs/>
              </w:rPr>
              <w:t>3.5</w:t>
            </w:r>
          </w:p>
        </w:tc>
        <w:tc>
          <w:tcPr>
            <w:tcW w:w="4114" w:type="dxa"/>
            <w:shd w:val="clear" w:color="auto" w:fill="auto"/>
          </w:tcPr>
          <w:p w14:paraId="45BE1707" w14:textId="529705E4" w:rsidR="00042222" w:rsidRPr="002F1E21" w:rsidRDefault="00042222" w:rsidP="007448EE">
            <w:pPr>
              <w:rPr>
                <w:rFonts w:ascii="Century Gothic" w:hAnsi="Century Gothic" w:cs="Arial"/>
              </w:rPr>
            </w:pPr>
            <w:r w:rsidRPr="002F1E21">
              <w:rPr>
                <w:rFonts w:ascii="Century Gothic" w:hAnsi="Century Gothic" w:cs="Arial"/>
              </w:rPr>
              <w:t>Case Review protocol</w:t>
            </w:r>
            <w:r w:rsidR="007A6506" w:rsidRPr="002F1E21">
              <w:rPr>
                <w:rFonts w:ascii="Century Gothic" w:hAnsi="Century Gothic" w:cs="Arial"/>
              </w:rPr>
              <w:t xml:space="preserve"> is used to identify good practice and share learning </w:t>
            </w:r>
          </w:p>
        </w:tc>
        <w:tc>
          <w:tcPr>
            <w:tcW w:w="2126" w:type="dxa"/>
            <w:shd w:val="clear" w:color="auto" w:fill="auto"/>
          </w:tcPr>
          <w:p w14:paraId="2886382B" w14:textId="61FCE2C6" w:rsidR="00042222" w:rsidRPr="002F1E21" w:rsidRDefault="007A6506" w:rsidP="007448EE">
            <w:pPr>
              <w:rPr>
                <w:rFonts w:ascii="Century Gothic" w:hAnsi="Century Gothic"/>
              </w:rPr>
            </w:pPr>
            <w:r w:rsidRPr="002F1E21">
              <w:rPr>
                <w:rFonts w:ascii="Century Gothic" w:hAnsi="Century Gothic"/>
              </w:rPr>
              <w:t>Practice Development Subgroup</w:t>
            </w:r>
          </w:p>
        </w:tc>
        <w:tc>
          <w:tcPr>
            <w:tcW w:w="5387" w:type="dxa"/>
            <w:shd w:val="clear" w:color="auto" w:fill="auto"/>
          </w:tcPr>
          <w:p w14:paraId="40258E2E" w14:textId="4EF66769" w:rsidR="00042222" w:rsidRPr="002F1E21" w:rsidRDefault="007A6506" w:rsidP="007448EE">
            <w:pPr>
              <w:rPr>
                <w:rFonts w:ascii="Century Gothic" w:hAnsi="Century Gothic"/>
              </w:rPr>
            </w:pPr>
            <w:r w:rsidRPr="002F1E21">
              <w:rPr>
                <w:rFonts w:ascii="Century Gothic" w:hAnsi="Century Gothic"/>
              </w:rPr>
              <w:t>Local good practice is shared appropriately and learning points are identified and actions implemented where required</w:t>
            </w:r>
          </w:p>
        </w:tc>
        <w:tc>
          <w:tcPr>
            <w:tcW w:w="2527" w:type="dxa"/>
            <w:shd w:val="clear" w:color="auto" w:fill="auto"/>
          </w:tcPr>
          <w:p w14:paraId="7BCC5C44" w14:textId="315ED8DC" w:rsidR="00042222" w:rsidRPr="002F1E21" w:rsidRDefault="00042222" w:rsidP="007448EE">
            <w:pPr>
              <w:rPr>
                <w:rFonts w:ascii="Century Gothic" w:hAnsi="Century Gothic"/>
              </w:rPr>
            </w:pPr>
          </w:p>
        </w:tc>
      </w:tr>
      <w:tr w:rsidR="002F1E21" w:rsidRPr="002F1E21" w14:paraId="1CB0B4E7" w14:textId="77777777" w:rsidTr="00835B56">
        <w:tc>
          <w:tcPr>
            <w:tcW w:w="1015" w:type="dxa"/>
            <w:tcBorders>
              <w:right w:val="single" w:sz="4" w:space="0" w:color="auto"/>
            </w:tcBorders>
            <w:shd w:val="clear" w:color="auto" w:fill="auto"/>
          </w:tcPr>
          <w:p w14:paraId="6B60E7A5" w14:textId="4F71AB31" w:rsidR="00AD5211" w:rsidRPr="002F1E21" w:rsidRDefault="008F33AB" w:rsidP="008F33AB">
            <w:pPr>
              <w:jc w:val="center"/>
              <w:rPr>
                <w:rFonts w:ascii="Century Gothic" w:hAnsi="Century Gothic"/>
                <w:b/>
                <w:bCs/>
              </w:rPr>
            </w:pPr>
            <w:r w:rsidRPr="002F1E21">
              <w:rPr>
                <w:rFonts w:ascii="Century Gothic" w:hAnsi="Century Gothic"/>
                <w:b/>
                <w:bCs/>
              </w:rPr>
              <w:t>1,2,3,4</w:t>
            </w:r>
          </w:p>
        </w:tc>
        <w:tc>
          <w:tcPr>
            <w:tcW w:w="566" w:type="dxa"/>
            <w:tcBorders>
              <w:left w:val="single" w:sz="4" w:space="0" w:color="auto"/>
            </w:tcBorders>
            <w:shd w:val="clear" w:color="auto" w:fill="auto"/>
          </w:tcPr>
          <w:p w14:paraId="7FA39E2C" w14:textId="4DB119DE" w:rsidR="00AD5211" w:rsidRPr="002F1E21" w:rsidRDefault="008F33AB" w:rsidP="00D147C5">
            <w:pPr>
              <w:rPr>
                <w:rFonts w:ascii="Century Gothic" w:hAnsi="Century Gothic"/>
                <w:b/>
                <w:bCs/>
              </w:rPr>
            </w:pPr>
            <w:r w:rsidRPr="002F1E21">
              <w:rPr>
                <w:rFonts w:ascii="Century Gothic" w:hAnsi="Century Gothic"/>
                <w:b/>
                <w:bCs/>
              </w:rPr>
              <w:t>3.6</w:t>
            </w:r>
          </w:p>
        </w:tc>
        <w:tc>
          <w:tcPr>
            <w:tcW w:w="4114" w:type="dxa"/>
            <w:shd w:val="clear" w:color="auto" w:fill="auto"/>
          </w:tcPr>
          <w:p w14:paraId="42F7FA4A" w14:textId="68D09790" w:rsidR="00AD5211" w:rsidRPr="002F1E21" w:rsidRDefault="007A6506" w:rsidP="007448EE">
            <w:pPr>
              <w:rPr>
                <w:rFonts w:ascii="Century Gothic" w:hAnsi="Century Gothic" w:cs="Arial"/>
              </w:rPr>
            </w:pPr>
            <w:r w:rsidRPr="002F1E21">
              <w:rPr>
                <w:rFonts w:ascii="Century Gothic" w:hAnsi="Century Gothic" w:cs="Arial"/>
              </w:rPr>
              <w:t>A Strategy is in place to ensure good practice in working with GBV which includes Safe and Together principles and tools</w:t>
            </w:r>
          </w:p>
        </w:tc>
        <w:tc>
          <w:tcPr>
            <w:tcW w:w="2126" w:type="dxa"/>
            <w:shd w:val="clear" w:color="auto" w:fill="auto"/>
          </w:tcPr>
          <w:p w14:paraId="3E49CFE9" w14:textId="6B3F233E" w:rsidR="00AD5211" w:rsidRPr="002F1E21" w:rsidRDefault="007A6506" w:rsidP="007448EE">
            <w:pPr>
              <w:rPr>
                <w:rFonts w:ascii="Century Gothic" w:hAnsi="Century Gothic"/>
              </w:rPr>
            </w:pPr>
            <w:r w:rsidRPr="002F1E21">
              <w:rPr>
                <w:rFonts w:ascii="Century Gothic" w:hAnsi="Century Gothic"/>
              </w:rPr>
              <w:t>Practice Development Subgroup</w:t>
            </w:r>
          </w:p>
        </w:tc>
        <w:tc>
          <w:tcPr>
            <w:tcW w:w="5387" w:type="dxa"/>
            <w:shd w:val="clear" w:color="auto" w:fill="auto"/>
          </w:tcPr>
          <w:p w14:paraId="30B9EE1E" w14:textId="357237E8" w:rsidR="00AD5211" w:rsidRPr="002F1E21" w:rsidRDefault="007A6506" w:rsidP="007448EE">
            <w:pPr>
              <w:rPr>
                <w:rFonts w:ascii="Century Gothic" w:hAnsi="Century Gothic"/>
              </w:rPr>
            </w:pPr>
            <w:r w:rsidRPr="002F1E21">
              <w:rPr>
                <w:rFonts w:ascii="Century Gothic" w:hAnsi="Century Gothic" w:cs="Arial"/>
              </w:rPr>
              <w:t>The Safe and Together principles are embedded in practice and within local policy documents</w:t>
            </w:r>
          </w:p>
        </w:tc>
        <w:tc>
          <w:tcPr>
            <w:tcW w:w="2527" w:type="dxa"/>
            <w:shd w:val="clear" w:color="auto" w:fill="auto"/>
          </w:tcPr>
          <w:p w14:paraId="67F0D1E2" w14:textId="1EB240FF" w:rsidR="00AD5211" w:rsidRPr="002F1E21" w:rsidRDefault="00AD5211" w:rsidP="007448EE">
            <w:pPr>
              <w:rPr>
                <w:rFonts w:ascii="Century Gothic" w:hAnsi="Century Gothic"/>
              </w:rPr>
            </w:pPr>
          </w:p>
        </w:tc>
      </w:tr>
    </w:tbl>
    <w:p w14:paraId="09DADDEF" w14:textId="37743EA5" w:rsidR="00AF39BA" w:rsidRDefault="00AF39BA" w:rsidP="00710631">
      <w:pPr>
        <w:rPr>
          <w:rFonts w:ascii="Century Gothic" w:hAnsi="Century Gothic"/>
          <w:b/>
          <w:sz w:val="24"/>
          <w:szCs w:val="24"/>
        </w:rPr>
      </w:pPr>
    </w:p>
    <w:p w14:paraId="019408C7" w14:textId="27215CB0" w:rsidR="006D7A2F" w:rsidRDefault="006D7A2F" w:rsidP="00710631">
      <w:pPr>
        <w:rPr>
          <w:rFonts w:ascii="Century Gothic" w:hAnsi="Century Gothic"/>
          <w:b/>
          <w:sz w:val="24"/>
          <w:szCs w:val="24"/>
        </w:rPr>
      </w:pPr>
    </w:p>
    <w:p w14:paraId="45ED8DBA" w14:textId="4562E9FB" w:rsidR="006D7A2F" w:rsidRDefault="006D7A2F" w:rsidP="00710631">
      <w:pPr>
        <w:rPr>
          <w:rFonts w:ascii="Century Gothic" w:hAnsi="Century Gothic"/>
          <w:b/>
          <w:sz w:val="24"/>
          <w:szCs w:val="24"/>
        </w:rPr>
      </w:pPr>
    </w:p>
    <w:p w14:paraId="7EB71666" w14:textId="50E34D8D" w:rsidR="006D7A2F" w:rsidRDefault="006D7A2F" w:rsidP="00710631">
      <w:pPr>
        <w:rPr>
          <w:rFonts w:ascii="Century Gothic" w:hAnsi="Century Gothic"/>
          <w:b/>
          <w:sz w:val="24"/>
          <w:szCs w:val="24"/>
        </w:rPr>
      </w:pPr>
    </w:p>
    <w:p w14:paraId="3B22F5DC" w14:textId="473ED861" w:rsidR="006D7A2F" w:rsidRDefault="006D7A2F" w:rsidP="00710631">
      <w:pPr>
        <w:rPr>
          <w:rFonts w:ascii="Century Gothic" w:hAnsi="Century Gothic"/>
          <w:b/>
          <w:sz w:val="24"/>
          <w:szCs w:val="24"/>
        </w:rPr>
      </w:pPr>
    </w:p>
    <w:p w14:paraId="50FFEAD0" w14:textId="77777777" w:rsidR="006D7A2F" w:rsidRDefault="006D7A2F" w:rsidP="00710631">
      <w:pPr>
        <w:rPr>
          <w:rFonts w:ascii="Century Gothic" w:hAnsi="Century Gothic"/>
          <w:b/>
          <w:sz w:val="24"/>
          <w:szCs w:val="24"/>
        </w:rPr>
      </w:pPr>
    </w:p>
    <w:p w14:paraId="643F956B" w14:textId="77777777" w:rsidR="00AF39BA" w:rsidRPr="002F1E21" w:rsidRDefault="00AF39BA" w:rsidP="00710631">
      <w:pPr>
        <w:rPr>
          <w:rFonts w:ascii="Century Gothic" w:hAnsi="Century Gothic"/>
          <w:b/>
          <w:sz w:val="24"/>
          <w:szCs w:val="24"/>
        </w:rPr>
      </w:pPr>
    </w:p>
    <w:tbl>
      <w:tblPr>
        <w:tblW w:w="1573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567"/>
        <w:gridCol w:w="4887"/>
        <w:gridCol w:w="2117"/>
        <w:gridCol w:w="5215"/>
        <w:gridCol w:w="1932"/>
      </w:tblGrid>
      <w:tr w:rsidR="002F1E21" w:rsidRPr="002F1E21" w14:paraId="583E463D" w14:textId="77777777" w:rsidTr="00401BA6">
        <w:trPr>
          <w:trHeight w:val="525"/>
        </w:trPr>
        <w:tc>
          <w:tcPr>
            <w:tcW w:w="15735" w:type="dxa"/>
            <w:gridSpan w:val="6"/>
            <w:shd w:val="clear" w:color="auto" w:fill="D9D9D9" w:themeFill="background1" w:themeFillShade="D9"/>
          </w:tcPr>
          <w:p w14:paraId="5CBCF635" w14:textId="4D7B64D7" w:rsidR="002F3CF3" w:rsidRPr="002F1E21" w:rsidRDefault="008F33AB" w:rsidP="002F3CF3">
            <w:pPr>
              <w:jc w:val="center"/>
              <w:rPr>
                <w:rFonts w:ascii="Century Gothic" w:hAnsi="Century Gothic"/>
                <w:b/>
                <w:bCs/>
                <w:sz w:val="28"/>
                <w:szCs w:val="28"/>
              </w:rPr>
            </w:pPr>
            <w:r w:rsidRPr="002F1E21">
              <w:rPr>
                <w:rFonts w:ascii="Century Gothic" w:hAnsi="Century Gothic"/>
                <w:b/>
                <w:bCs/>
                <w:sz w:val="28"/>
                <w:szCs w:val="28"/>
              </w:rPr>
              <w:lastRenderedPageBreak/>
              <w:t xml:space="preserve">4. </w:t>
            </w:r>
            <w:r w:rsidR="002F3CF3" w:rsidRPr="002F1E21">
              <w:rPr>
                <w:rFonts w:ascii="Century Gothic" w:hAnsi="Century Gothic"/>
                <w:b/>
                <w:bCs/>
                <w:sz w:val="28"/>
                <w:szCs w:val="28"/>
              </w:rPr>
              <w:t>Learning and Development</w:t>
            </w:r>
          </w:p>
        </w:tc>
      </w:tr>
      <w:tr w:rsidR="002F1E21" w:rsidRPr="002F1E21" w14:paraId="62EF2C18" w14:textId="77777777" w:rsidTr="002F3CF3">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c>
          <w:tcPr>
            <w:tcW w:w="1017" w:type="dxa"/>
            <w:tcBorders>
              <w:right w:val="single" w:sz="4" w:space="0" w:color="auto"/>
            </w:tcBorders>
            <w:shd w:val="clear" w:color="auto" w:fill="auto"/>
          </w:tcPr>
          <w:p w14:paraId="0B748BC2" w14:textId="40FA1FA1" w:rsidR="002F3CF3" w:rsidRPr="002F1E21" w:rsidRDefault="002F3CF3" w:rsidP="002F3CF3">
            <w:pPr>
              <w:rPr>
                <w:rFonts w:ascii="Century Gothic" w:hAnsi="Century Gothic"/>
                <w:b/>
                <w:bCs/>
              </w:rPr>
            </w:pPr>
            <w:r w:rsidRPr="002F1E21">
              <w:rPr>
                <w:rFonts w:ascii="Century Gothic" w:hAnsi="Century Gothic"/>
                <w:b/>
                <w:bCs/>
              </w:rPr>
              <w:t>Equally Safe Priority Area</w:t>
            </w:r>
          </w:p>
        </w:tc>
        <w:tc>
          <w:tcPr>
            <w:tcW w:w="567" w:type="dxa"/>
            <w:tcBorders>
              <w:left w:val="single" w:sz="4" w:space="0" w:color="auto"/>
            </w:tcBorders>
            <w:shd w:val="clear" w:color="auto" w:fill="auto"/>
          </w:tcPr>
          <w:p w14:paraId="7640BD54" w14:textId="77777777" w:rsidR="002F3CF3" w:rsidRPr="002F1E21" w:rsidRDefault="002F3CF3" w:rsidP="002F3CF3">
            <w:pPr>
              <w:rPr>
                <w:rFonts w:ascii="Century Gothic" w:hAnsi="Century Gothic"/>
                <w:b/>
                <w:bCs/>
              </w:rPr>
            </w:pPr>
          </w:p>
        </w:tc>
        <w:tc>
          <w:tcPr>
            <w:tcW w:w="4887" w:type="dxa"/>
            <w:shd w:val="clear" w:color="auto" w:fill="auto"/>
          </w:tcPr>
          <w:p w14:paraId="11225092" w14:textId="4B65BAD5" w:rsidR="002F3CF3" w:rsidRPr="002F1E21" w:rsidRDefault="00CC4AC9" w:rsidP="002F3CF3">
            <w:pPr>
              <w:rPr>
                <w:rFonts w:ascii="Century Gothic" w:hAnsi="Century Gothic"/>
                <w:b/>
              </w:rPr>
            </w:pPr>
            <w:r w:rsidRPr="002F1E21">
              <w:rPr>
                <w:rFonts w:ascii="Century Gothic" w:hAnsi="Century Gothic"/>
                <w:b/>
              </w:rPr>
              <w:t>Action</w:t>
            </w:r>
          </w:p>
        </w:tc>
        <w:tc>
          <w:tcPr>
            <w:tcW w:w="2117" w:type="dxa"/>
            <w:shd w:val="clear" w:color="auto" w:fill="auto"/>
          </w:tcPr>
          <w:p w14:paraId="6C79A244" w14:textId="77777777" w:rsidR="002F3CF3" w:rsidRPr="002F1E21" w:rsidRDefault="002F3CF3" w:rsidP="002F3CF3">
            <w:pPr>
              <w:rPr>
                <w:rFonts w:ascii="Century Gothic" w:hAnsi="Century Gothic"/>
                <w:b/>
              </w:rPr>
            </w:pPr>
            <w:r w:rsidRPr="002F1E21">
              <w:rPr>
                <w:rFonts w:ascii="Century Gothic" w:hAnsi="Century Gothic"/>
                <w:b/>
              </w:rPr>
              <w:t xml:space="preserve">Lead </w:t>
            </w:r>
          </w:p>
        </w:tc>
        <w:tc>
          <w:tcPr>
            <w:tcW w:w="5215" w:type="dxa"/>
            <w:shd w:val="clear" w:color="auto" w:fill="auto"/>
          </w:tcPr>
          <w:p w14:paraId="1152F182" w14:textId="796D7B63" w:rsidR="002F3CF3" w:rsidRPr="002F1E21" w:rsidRDefault="002F3CF3" w:rsidP="002F3CF3">
            <w:pPr>
              <w:rPr>
                <w:rFonts w:ascii="Century Gothic" w:hAnsi="Century Gothic"/>
                <w:b/>
              </w:rPr>
            </w:pPr>
            <w:r w:rsidRPr="002F1E21">
              <w:rPr>
                <w:rFonts w:ascii="Century Gothic" w:hAnsi="Century Gothic"/>
                <w:b/>
              </w:rPr>
              <w:t>Indicator</w:t>
            </w:r>
            <w:r w:rsidR="00CC4AC9" w:rsidRPr="002F1E21">
              <w:rPr>
                <w:rFonts w:ascii="Century Gothic" w:hAnsi="Century Gothic"/>
                <w:b/>
              </w:rPr>
              <w:t>/Outcome</w:t>
            </w:r>
          </w:p>
        </w:tc>
        <w:tc>
          <w:tcPr>
            <w:tcW w:w="1932" w:type="dxa"/>
            <w:shd w:val="clear" w:color="auto" w:fill="auto"/>
          </w:tcPr>
          <w:p w14:paraId="3607C3CC" w14:textId="77777777" w:rsidR="002F3CF3" w:rsidRPr="002F1E21" w:rsidRDefault="002F3CF3" w:rsidP="002F3CF3">
            <w:pPr>
              <w:rPr>
                <w:rFonts w:ascii="Century Gothic" w:hAnsi="Century Gothic"/>
                <w:b/>
              </w:rPr>
            </w:pPr>
            <w:r w:rsidRPr="002F1E21">
              <w:rPr>
                <w:rFonts w:ascii="Century Gothic" w:hAnsi="Century Gothic"/>
                <w:b/>
              </w:rPr>
              <w:t>Timescale</w:t>
            </w:r>
          </w:p>
        </w:tc>
      </w:tr>
      <w:tr w:rsidR="002F1E21" w:rsidRPr="002F1E21" w14:paraId="0E0804F4" w14:textId="77777777" w:rsidTr="002F3CF3">
        <w:tblPrEx>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Ex>
        <w:tc>
          <w:tcPr>
            <w:tcW w:w="1017" w:type="dxa"/>
            <w:tcBorders>
              <w:bottom w:val="single" w:sz="8" w:space="0" w:color="9F8AB9"/>
              <w:right w:val="single" w:sz="4" w:space="0" w:color="auto"/>
            </w:tcBorders>
            <w:shd w:val="clear" w:color="auto" w:fill="auto"/>
          </w:tcPr>
          <w:p w14:paraId="0EF7D619" w14:textId="67F78399" w:rsidR="00401BA6" w:rsidRPr="002F1E21" w:rsidRDefault="008F33AB" w:rsidP="008F33AB">
            <w:pPr>
              <w:jc w:val="center"/>
              <w:rPr>
                <w:rFonts w:ascii="Century Gothic" w:hAnsi="Century Gothic"/>
                <w:b/>
                <w:bCs/>
              </w:rPr>
            </w:pPr>
            <w:r w:rsidRPr="002F1E21">
              <w:rPr>
                <w:rFonts w:ascii="Century Gothic" w:hAnsi="Century Gothic"/>
                <w:b/>
                <w:bCs/>
              </w:rPr>
              <w:t>1,3,4</w:t>
            </w:r>
          </w:p>
        </w:tc>
        <w:tc>
          <w:tcPr>
            <w:tcW w:w="567" w:type="dxa"/>
            <w:tcBorders>
              <w:left w:val="single" w:sz="4" w:space="0" w:color="auto"/>
              <w:bottom w:val="single" w:sz="8" w:space="0" w:color="9F8AB9"/>
            </w:tcBorders>
            <w:shd w:val="clear" w:color="auto" w:fill="auto"/>
          </w:tcPr>
          <w:p w14:paraId="54DD2A90" w14:textId="7C9F2CDC" w:rsidR="00401BA6" w:rsidRPr="002F1E21" w:rsidRDefault="008F33AB" w:rsidP="002F3CF3">
            <w:pPr>
              <w:rPr>
                <w:rFonts w:ascii="Century Gothic" w:hAnsi="Century Gothic"/>
                <w:b/>
                <w:bCs/>
              </w:rPr>
            </w:pPr>
            <w:r w:rsidRPr="002F1E21">
              <w:rPr>
                <w:rFonts w:ascii="Century Gothic" w:hAnsi="Century Gothic"/>
                <w:b/>
                <w:bCs/>
              </w:rPr>
              <w:t>4.1</w:t>
            </w:r>
          </w:p>
        </w:tc>
        <w:tc>
          <w:tcPr>
            <w:tcW w:w="4887" w:type="dxa"/>
            <w:tcBorders>
              <w:bottom w:val="single" w:sz="8" w:space="0" w:color="9F8AB9"/>
            </w:tcBorders>
            <w:shd w:val="clear" w:color="auto" w:fill="auto"/>
          </w:tcPr>
          <w:p w14:paraId="43B6B9F8" w14:textId="518147FB" w:rsidR="00401BA6" w:rsidRPr="002F1E21" w:rsidRDefault="00042222" w:rsidP="002F3CF3">
            <w:pPr>
              <w:spacing w:after="0"/>
              <w:rPr>
                <w:rFonts w:ascii="Century Gothic" w:hAnsi="Century Gothic"/>
                <w:bCs/>
              </w:rPr>
            </w:pPr>
            <w:r w:rsidRPr="002F1E21">
              <w:rPr>
                <w:rFonts w:ascii="Century Gothic" w:hAnsi="Century Gothic"/>
                <w:bCs/>
              </w:rPr>
              <w:t>T</w:t>
            </w:r>
            <w:r w:rsidR="007A6506" w:rsidRPr="002F1E21">
              <w:rPr>
                <w:rFonts w:ascii="Century Gothic" w:hAnsi="Century Gothic"/>
                <w:bCs/>
              </w:rPr>
              <w:t>here is a Learning and Development F</w:t>
            </w:r>
            <w:r w:rsidRPr="002F1E21">
              <w:rPr>
                <w:rFonts w:ascii="Century Gothic" w:hAnsi="Century Gothic"/>
                <w:bCs/>
              </w:rPr>
              <w:t>ramework in place</w:t>
            </w:r>
            <w:r w:rsidR="007A6506" w:rsidRPr="002F1E21">
              <w:rPr>
                <w:rFonts w:ascii="Century Gothic" w:hAnsi="Century Gothic"/>
                <w:bCs/>
              </w:rPr>
              <w:t xml:space="preserve"> that meets the needs of the whole workforce in relation to GBV</w:t>
            </w:r>
          </w:p>
        </w:tc>
        <w:tc>
          <w:tcPr>
            <w:tcW w:w="2117" w:type="dxa"/>
            <w:tcBorders>
              <w:bottom w:val="single" w:sz="8" w:space="0" w:color="9F8AB9"/>
            </w:tcBorders>
            <w:shd w:val="clear" w:color="auto" w:fill="auto"/>
          </w:tcPr>
          <w:p w14:paraId="540928E6" w14:textId="6EAFBAC7" w:rsidR="00401BA6" w:rsidRPr="002F1E21" w:rsidRDefault="007A6506" w:rsidP="002F3CF3">
            <w:pPr>
              <w:rPr>
                <w:rFonts w:ascii="Century Gothic" w:hAnsi="Century Gothic"/>
              </w:rPr>
            </w:pPr>
            <w:r w:rsidRPr="002F1E21">
              <w:rPr>
                <w:rFonts w:ascii="Century Gothic" w:hAnsi="Century Gothic"/>
              </w:rPr>
              <w:t>PPA Workforce Learning and Development Subgroup</w:t>
            </w:r>
          </w:p>
        </w:tc>
        <w:tc>
          <w:tcPr>
            <w:tcW w:w="5215" w:type="dxa"/>
            <w:tcBorders>
              <w:bottom w:val="single" w:sz="8" w:space="0" w:color="9F8AB9"/>
            </w:tcBorders>
            <w:shd w:val="clear" w:color="auto" w:fill="auto"/>
          </w:tcPr>
          <w:p w14:paraId="7B2BFCE9" w14:textId="5A42B2CD" w:rsidR="007A6506" w:rsidRPr="002F1E21" w:rsidRDefault="007A6506" w:rsidP="007A6506">
            <w:pPr>
              <w:autoSpaceDE w:val="0"/>
              <w:autoSpaceDN w:val="0"/>
              <w:adjustRightInd w:val="0"/>
              <w:rPr>
                <w:rFonts w:ascii="Century Gothic" w:eastAsiaTheme="minorEastAsia" w:hAnsi="Century Gothic" w:cs="Proxima Nova"/>
                <w:lang w:eastAsia="en-GB"/>
              </w:rPr>
            </w:pPr>
            <w:r w:rsidRPr="002F1E21">
              <w:rPr>
                <w:rFonts w:ascii="Century Gothic" w:eastAsiaTheme="minorEastAsia" w:hAnsi="Century Gothic" w:cs="Proxima Nova"/>
                <w:lang w:eastAsia="en-GB"/>
              </w:rPr>
              <w:t xml:space="preserve">Training on how to identify and </w:t>
            </w:r>
            <w:r w:rsidR="00D163C8" w:rsidRPr="002F1E21">
              <w:rPr>
                <w:rFonts w:ascii="Century Gothic" w:eastAsiaTheme="minorEastAsia" w:hAnsi="Century Gothic" w:cs="Proxima Nova"/>
                <w:lang w:eastAsia="en-GB"/>
              </w:rPr>
              <w:t>engage with</w:t>
            </w:r>
            <w:r w:rsidRPr="002F1E21">
              <w:rPr>
                <w:rFonts w:ascii="Century Gothic" w:eastAsiaTheme="minorEastAsia" w:hAnsi="Century Gothic" w:cs="Proxima Nova"/>
                <w:lang w:eastAsia="en-GB"/>
              </w:rPr>
              <w:t xml:space="preserve"> perpetrators of VAWG is routinely available to Public Sector staff</w:t>
            </w:r>
          </w:p>
          <w:p w14:paraId="227B6D4C" w14:textId="69EE8627" w:rsidR="007A6506" w:rsidRPr="002F1E21" w:rsidRDefault="000607BA" w:rsidP="000607BA">
            <w:pPr>
              <w:rPr>
                <w:rFonts w:ascii="Century Gothic" w:hAnsi="Century Gothic"/>
              </w:rPr>
            </w:pPr>
            <w:r w:rsidRPr="002F1E21">
              <w:rPr>
                <w:rFonts w:ascii="Century Gothic" w:hAnsi="Century Gothic"/>
              </w:rPr>
              <w:t xml:space="preserve">Public Sector staff who </w:t>
            </w:r>
            <w:proofErr w:type="gramStart"/>
            <w:r w:rsidRPr="002F1E21">
              <w:rPr>
                <w:rFonts w:ascii="Century Gothic" w:hAnsi="Century Gothic"/>
              </w:rPr>
              <w:t>come into contact with</w:t>
            </w:r>
            <w:proofErr w:type="gramEnd"/>
            <w:r w:rsidRPr="002F1E21">
              <w:rPr>
                <w:rFonts w:ascii="Century Gothic" w:hAnsi="Century Gothic"/>
              </w:rPr>
              <w:t xml:space="preserve"> members of the public have received</w:t>
            </w:r>
            <w:r w:rsidR="00D163C8" w:rsidRPr="002F1E21">
              <w:rPr>
                <w:rFonts w:ascii="Century Gothic" w:hAnsi="Century Gothic"/>
              </w:rPr>
              <w:t>, as a minimum,</w:t>
            </w:r>
            <w:r w:rsidR="008E15FD" w:rsidRPr="002F1E21">
              <w:rPr>
                <w:rFonts w:ascii="Century Gothic" w:hAnsi="Century Gothic"/>
              </w:rPr>
              <w:t xml:space="preserve"> </w:t>
            </w:r>
            <w:r w:rsidRPr="002F1E21">
              <w:rPr>
                <w:rFonts w:ascii="Century Gothic" w:hAnsi="Century Gothic"/>
              </w:rPr>
              <w:t>basic training in how to identify and respond to women and children affected by VAWG in a</w:t>
            </w:r>
            <w:r w:rsidR="00D163C8" w:rsidRPr="002F1E21">
              <w:rPr>
                <w:rFonts w:ascii="Century Gothic" w:hAnsi="Century Gothic"/>
              </w:rPr>
              <w:t xml:space="preserve"> trauma informed and sensitive</w:t>
            </w:r>
            <w:r w:rsidRPr="002F1E21">
              <w:rPr>
                <w:rFonts w:ascii="Century Gothic" w:hAnsi="Century Gothic"/>
              </w:rPr>
              <w:t xml:space="preserve"> way</w:t>
            </w:r>
            <w:r w:rsidR="007A6506" w:rsidRPr="002F1E21">
              <w:rPr>
                <w:rFonts w:ascii="Century Gothic" w:hAnsi="Century Gothic"/>
              </w:rPr>
              <w:t xml:space="preserve"> </w:t>
            </w:r>
          </w:p>
          <w:p w14:paraId="718FD667" w14:textId="69B010A5" w:rsidR="007A6506" w:rsidRPr="002F1E21" w:rsidRDefault="007A6506" w:rsidP="000607BA">
            <w:pPr>
              <w:rPr>
                <w:rFonts w:ascii="Century Gothic" w:hAnsi="Century Gothic"/>
              </w:rPr>
            </w:pPr>
            <w:r w:rsidRPr="002F1E21">
              <w:rPr>
                <w:rFonts w:ascii="Century Gothic" w:hAnsi="Century Gothic"/>
              </w:rPr>
              <w:t xml:space="preserve">Public Sector staff who </w:t>
            </w:r>
            <w:proofErr w:type="gramStart"/>
            <w:r w:rsidRPr="002F1E21">
              <w:rPr>
                <w:rFonts w:ascii="Century Gothic" w:hAnsi="Century Gothic"/>
              </w:rPr>
              <w:t>come into contact with</w:t>
            </w:r>
            <w:proofErr w:type="gramEnd"/>
            <w:r w:rsidRPr="002F1E21">
              <w:rPr>
                <w:rFonts w:ascii="Century Gothic" w:hAnsi="Century Gothic"/>
              </w:rPr>
              <w:t xml:space="preserve"> members of the public have received training in how to identify and respond to perpetrators of VAWG in an appropriate way</w:t>
            </w:r>
          </w:p>
          <w:p w14:paraId="7E72D62B" w14:textId="7FBE48C1" w:rsidR="00401BA6" w:rsidRPr="002F1E21" w:rsidRDefault="007A6506" w:rsidP="000607BA">
            <w:pPr>
              <w:rPr>
                <w:rFonts w:ascii="Century Gothic" w:hAnsi="Century Gothic"/>
              </w:rPr>
            </w:pPr>
            <w:r w:rsidRPr="002F1E21">
              <w:rPr>
                <w:rFonts w:ascii="Century Gothic" w:hAnsi="Century Gothic"/>
              </w:rPr>
              <w:t xml:space="preserve">Staff in child welfare settings </w:t>
            </w:r>
            <w:r w:rsidR="00D163C8" w:rsidRPr="002F1E21">
              <w:rPr>
                <w:rFonts w:ascii="Century Gothic" w:hAnsi="Century Gothic"/>
              </w:rPr>
              <w:t>are, as a minimum, aware of the Key Principles and Core Components of</w:t>
            </w:r>
            <w:r w:rsidRPr="002F1E21">
              <w:rPr>
                <w:rFonts w:ascii="Century Gothic" w:hAnsi="Century Gothic"/>
              </w:rPr>
              <w:t xml:space="preserve"> the Safe and Together model</w:t>
            </w:r>
          </w:p>
        </w:tc>
        <w:tc>
          <w:tcPr>
            <w:tcW w:w="1932" w:type="dxa"/>
            <w:tcBorders>
              <w:bottom w:val="single" w:sz="8" w:space="0" w:color="9F8AB9"/>
            </w:tcBorders>
            <w:shd w:val="clear" w:color="auto" w:fill="auto"/>
          </w:tcPr>
          <w:p w14:paraId="168F2EED" w14:textId="77777777" w:rsidR="00401BA6" w:rsidRPr="002F1E21" w:rsidRDefault="00401BA6" w:rsidP="002F3CF3">
            <w:pPr>
              <w:rPr>
                <w:rFonts w:ascii="Century Gothic" w:hAnsi="Century Gothic"/>
              </w:rPr>
            </w:pPr>
          </w:p>
        </w:tc>
      </w:tr>
    </w:tbl>
    <w:p w14:paraId="73C3BBA2" w14:textId="3FD46207" w:rsidR="00710631" w:rsidRDefault="00710631" w:rsidP="00710631">
      <w:pPr>
        <w:rPr>
          <w:rFonts w:ascii="Century Gothic" w:hAnsi="Century Gothic"/>
          <w:b/>
          <w:sz w:val="24"/>
          <w:szCs w:val="24"/>
        </w:rPr>
      </w:pPr>
    </w:p>
    <w:p w14:paraId="71D81862" w14:textId="77777777" w:rsidR="002F3CF3" w:rsidRPr="00F2685D" w:rsidRDefault="002F3CF3">
      <w:pPr>
        <w:rPr>
          <w:rFonts w:ascii="Century Gothic" w:eastAsiaTheme="minorEastAsia" w:hAnsi="Century Gothic" w:cs="Proxima Nova"/>
          <w:color w:val="000000"/>
          <w:lang w:eastAsia="en-GB"/>
        </w:rPr>
      </w:pPr>
    </w:p>
    <w:sectPr w:rsidR="002F3CF3" w:rsidRPr="00F2685D" w:rsidSect="00670A3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0BD0" w14:textId="77777777" w:rsidR="00ED2C68" w:rsidRDefault="00ED2C68">
      <w:pPr>
        <w:spacing w:after="0" w:line="240" w:lineRule="auto"/>
      </w:pPr>
      <w:r>
        <w:separator/>
      </w:r>
    </w:p>
  </w:endnote>
  <w:endnote w:type="continuationSeparator" w:id="0">
    <w:p w14:paraId="6CC873FB" w14:textId="77777777" w:rsidR="00ED2C68" w:rsidRDefault="00ED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5961" w14:textId="77777777" w:rsidR="00670A34" w:rsidRDefault="00710631" w:rsidP="00670A34">
    <w:pPr>
      <w:pStyle w:val="Footer"/>
      <w:jc w:val="right"/>
    </w:pPr>
    <w:r>
      <w:fldChar w:fldCharType="begin"/>
    </w:r>
    <w:r>
      <w:instrText xml:space="preserve"> PAGE  \* Arabic  \* MERGEFORMAT </w:instrText>
    </w:r>
    <w:r>
      <w:fldChar w:fldCharType="separate"/>
    </w:r>
    <w:r w:rsidR="008C2F1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C588" w14:textId="77777777" w:rsidR="00ED2C68" w:rsidRDefault="00ED2C68">
      <w:pPr>
        <w:spacing w:after="0" w:line="240" w:lineRule="auto"/>
      </w:pPr>
      <w:r>
        <w:separator/>
      </w:r>
    </w:p>
  </w:footnote>
  <w:footnote w:type="continuationSeparator" w:id="0">
    <w:p w14:paraId="30924BE1" w14:textId="77777777" w:rsidR="00ED2C68" w:rsidRDefault="00ED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FD7" w14:textId="05FC4F9A" w:rsidR="00670A34" w:rsidRDefault="006D7A2F" w:rsidP="00670A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89"/>
    <w:multiLevelType w:val="hybridMultilevel"/>
    <w:tmpl w:val="BEBCA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4EE2"/>
    <w:multiLevelType w:val="hybridMultilevel"/>
    <w:tmpl w:val="549A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C3822"/>
    <w:multiLevelType w:val="hybridMultilevel"/>
    <w:tmpl w:val="4EF4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48DA"/>
    <w:multiLevelType w:val="hybridMultilevel"/>
    <w:tmpl w:val="F840728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 w15:restartNumberingAfterBreak="0">
    <w:nsid w:val="212E1E04"/>
    <w:multiLevelType w:val="hybridMultilevel"/>
    <w:tmpl w:val="D33E7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55D42"/>
    <w:multiLevelType w:val="hybridMultilevel"/>
    <w:tmpl w:val="F3D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41A5C"/>
    <w:multiLevelType w:val="hybridMultilevel"/>
    <w:tmpl w:val="02DE5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B76AD"/>
    <w:multiLevelType w:val="hybridMultilevel"/>
    <w:tmpl w:val="3C8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26F00"/>
    <w:multiLevelType w:val="hybridMultilevel"/>
    <w:tmpl w:val="2304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85BB8"/>
    <w:multiLevelType w:val="hybridMultilevel"/>
    <w:tmpl w:val="E38C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7BF2"/>
    <w:multiLevelType w:val="hybridMultilevel"/>
    <w:tmpl w:val="BB46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928E2"/>
    <w:multiLevelType w:val="hybridMultilevel"/>
    <w:tmpl w:val="2306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6474E"/>
    <w:multiLevelType w:val="hybridMultilevel"/>
    <w:tmpl w:val="8C10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D20D8"/>
    <w:multiLevelType w:val="hybridMultilevel"/>
    <w:tmpl w:val="74521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CB598D"/>
    <w:multiLevelType w:val="hybridMultilevel"/>
    <w:tmpl w:val="803E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F3429"/>
    <w:multiLevelType w:val="hybridMultilevel"/>
    <w:tmpl w:val="5C4C3614"/>
    <w:lvl w:ilvl="0" w:tplc="E586D74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13733"/>
    <w:multiLevelType w:val="hybridMultilevel"/>
    <w:tmpl w:val="3EB2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B1B69"/>
    <w:multiLevelType w:val="hybridMultilevel"/>
    <w:tmpl w:val="66E4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336338">
    <w:abstractNumId w:val="11"/>
  </w:num>
  <w:num w:numId="2" w16cid:durableId="463501527">
    <w:abstractNumId w:val="16"/>
  </w:num>
  <w:num w:numId="3" w16cid:durableId="2111658702">
    <w:abstractNumId w:val="1"/>
  </w:num>
  <w:num w:numId="4" w16cid:durableId="470639163">
    <w:abstractNumId w:val="10"/>
  </w:num>
  <w:num w:numId="5" w16cid:durableId="1276212356">
    <w:abstractNumId w:val="9"/>
  </w:num>
  <w:num w:numId="6" w16cid:durableId="898441319">
    <w:abstractNumId w:val="0"/>
  </w:num>
  <w:num w:numId="7" w16cid:durableId="1457990974">
    <w:abstractNumId w:val="15"/>
  </w:num>
  <w:num w:numId="8" w16cid:durableId="218711203">
    <w:abstractNumId w:val="6"/>
  </w:num>
  <w:num w:numId="9" w16cid:durableId="1149253392">
    <w:abstractNumId w:val="2"/>
  </w:num>
  <w:num w:numId="10" w16cid:durableId="1730691148">
    <w:abstractNumId w:val="5"/>
  </w:num>
  <w:num w:numId="11" w16cid:durableId="1486318729">
    <w:abstractNumId w:val="14"/>
  </w:num>
  <w:num w:numId="12" w16cid:durableId="673455130">
    <w:abstractNumId w:val="17"/>
  </w:num>
  <w:num w:numId="13" w16cid:durableId="1082026113">
    <w:abstractNumId w:val="12"/>
  </w:num>
  <w:num w:numId="14" w16cid:durableId="1367752791">
    <w:abstractNumId w:val="8"/>
  </w:num>
  <w:num w:numId="15" w16cid:durableId="2050454685">
    <w:abstractNumId w:val="7"/>
  </w:num>
  <w:num w:numId="16" w16cid:durableId="150565640">
    <w:abstractNumId w:val="13"/>
  </w:num>
  <w:num w:numId="17" w16cid:durableId="564923222">
    <w:abstractNumId w:val="4"/>
  </w:num>
  <w:num w:numId="18" w16cid:durableId="886797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31"/>
    <w:rsid w:val="00042222"/>
    <w:rsid w:val="000607BA"/>
    <w:rsid w:val="000B43A1"/>
    <w:rsid w:val="000F52AB"/>
    <w:rsid w:val="002E700C"/>
    <w:rsid w:val="002F1E21"/>
    <w:rsid w:val="002F3CF3"/>
    <w:rsid w:val="002F6086"/>
    <w:rsid w:val="00305C3F"/>
    <w:rsid w:val="00326715"/>
    <w:rsid w:val="00352A87"/>
    <w:rsid w:val="003A0E96"/>
    <w:rsid w:val="003C614F"/>
    <w:rsid w:val="00401BA6"/>
    <w:rsid w:val="004050FB"/>
    <w:rsid w:val="00427655"/>
    <w:rsid w:val="004706B0"/>
    <w:rsid w:val="004F43AA"/>
    <w:rsid w:val="004F4F56"/>
    <w:rsid w:val="00530AD7"/>
    <w:rsid w:val="00541280"/>
    <w:rsid w:val="00631B40"/>
    <w:rsid w:val="006850BA"/>
    <w:rsid w:val="00691D99"/>
    <w:rsid w:val="006D7A2F"/>
    <w:rsid w:val="006F1A74"/>
    <w:rsid w:val="00710631"/>
    <w:rsid w:val="00784021"/>
    <w:rsid w:val="007A6506"/>
    <w:rsid w:val="007E6D61"/>
    <w:rsid w:val="00835B56"/>
    <w:rsid w:val="0084060A"/>
    <w:rsid w:val="00852FB8"/>
    <w:rsid w:val="008C2F15"/>
    <w:rsid w:val="008E15FD"/>
    <w:rsid w:val="008F33AB"/>
    <w:rsid w:val="009017C5"/>
    <w:rsid w:val="009A084B"/>
    <w:rsid w:val="00A00F99"/>
    <w:rsid w:val="00A67D91"/>
    <w:rsid w:val="00AA604D"/>
    <w:rsid w:val="00AD452C"/>
    <w:rsid w:val="00AD5211"/>
    <w:rsid w:val="00AF39BA"/>
    <w:rsid w:val="00BA1C40"/>
    <w:rsid w:val="00BD5CDC"/>
    <w:rsid w:val="00C30330"/>
    <w:rsid w:val="00C40D31"/>
    <w:rsid w:val="00CC4AC9"/>
    <w:rsid w:val="00D147C5"/>
    <w:rsid w:val="00D163C8"/>
    <w:rsid w:val="00DC06A9"/>
    <w:rsid w:val="00DC58C1"/>
    <w:rsid w:val="00DE7F32"/>
    <w:rsid w:val="00EB18DF"/>
    <w:rsid w:val="00ED2C68"/>
    <w:rsid w:val="00F2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77BA"/>
  <w15:chartTrackingRefBased/>
  <w15:docId w15:val="{6D73A9F1-AFC0-304B-8CAB-CE676653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3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631"/>
    <w:pPr>
      <w:tabs>
        <w:tab w:val="center" w:pos="4513"/>
        <w:tab w:val="right" w:pos="9026"/>
      </w:tabs>
    </w:pPr>
  </w:style>
  <w:style w:type="character" w:customStyle="1" w:styleId="HeaderChar">
    <w:name w:val="Header Char"/>
    <w:basedOn w:val="DefaultParagraphFont"/>
    <w:link w:val="Header"/>
    <w:uiPriority w:val="99"/>
    <w:rsid w:val="00710631"/>
    <w:rPr>
      <w:rFonts w:ascii="Calibri" w:eastAsia="Calibri" w:hAnsi="Calibri" w:cs="Times New Roman"/>
      <w:sz w:val="22"/>
      <w:szCs w:val="22"/>
    </w:rPr>
  </w:style>
  <w:style w:type="paragraph" w:styleId="Footer">
    <w:name w:val="footer"/>
    <w:basedOn w:val="Normal"/>
    <w:link w:val="FooterChar"/>
    <w:uiPriority w:val="99"/>
    <w:unhideWhenUsed/>
    <w:rsid w:val="00710631"/>
    <w:pPr>
      <w:tabs>
        <w:tab w:val="center" w:pos="4513"/>
        <w:tab w:val="right" w:pos="9026"/>
      </w:tabs>
    </w:pPr>
  </w:style>
  <w:style w:type="character" w:customStyle="1" w:styleId="FooterChar">
    <w:name w:val="Footer Char"/>
    <w:basedOn w:val="DefaultParagraphFont"/>
    <w:link w:val="Footer"/>
    <w:uiPriority w:val="99"/>
    <w:rsid w:val="00710631"/>
    <w:rPr>
      <w:rFonts w:ascii="Calibri" w:eastAsia="Calibri" w:hAnsi="Calibri" w:cs="Times New Roman"/>
      <w:sz w:val="22"/>
      <w:szCs w:val="22"/>
    </w:rPr>
  </w:style>
  <w:style w:type="character" w:styleId="CommentReference">
    <w:name w:val="annotation reference"/>
    <w:uiPriority w:val="99"/>
    <w:semiHidden/>
    <w:unhideWhenUsed/>
    <w:rsid w:val="00710631"/>
    <w:rPr>
      <w:sz w:val="16"/>
      <w:szCs w:val="16"/>
    </w:rPr>
  </w:style>
  <w:style w:type="paragraph" w:styleId="CommentText">
    <w:name w:val="annotation text"/>
    <w:basedOn w:val="Normal"/>
    <w:link w:val="CommentTextChar"/>
    <w:uiPriority w:val="99"/>
    <w:semiHidden/>
    <w:unhideWhenUsed/>
    <w:rsid w:val="00710631"/>
    <w:rPr>
      <w:sz w:val="20"/>
      <w:szCs w:val="20"/>
    </w:rPr>
  </w:style>
  <w:style w:type="character" w:customStyle="1" w:styleId="CommentTextChar">
    <w:name w:val="Comment Text Char"/>
    <w:basedOn w:val="DefaultParagraphFont"/>
    <w:link w:val="CommentText"/>
    <w:uiPriority w:val="99"/>
    <w:semiHidden/>
    <w:rsid w:val="007106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06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0631"/>
    <w:rPr>
      <w:rFonts w:ascii="Times New Roman" w:eastAsia="Calibri" w:hAnsi="Times New Roman" w:cs="Times New Roman"/>
      <w:sz w:val="18"/>
      <w:szCs w:val="18"/>
    </w:rPr>
  </w:style>
  <w:style w:type="paragraph" w:styleId="ListParagraph">
    <w:name w:val="List Paragraph"/>
    <w:basedOn w:val="Normal"/>
    <w:uiPriority w:val="34"/>
    <w:qFormat/>
    <w:rsid w:val="00326715"/>
    <w:pPr>
      <w:ind w:left="720"/>
      <w:contextualSpacing/>
    </w:pPr>
  </w:style>
  <w:style w:type="paragraph" w:customStyle="1" w:styleId="Default">
    <w:name w:val="Default"/>
    <w:rsid w:val="00326715"/>
    <w:pPr>
      <w:autoSpaceDE w:val="0"/>
      <w:autoSpaceDN w:val="0"/>
      <w:adjustRightInd w:val="0"/>
    </w:pPr>
    <w:rPr>
      <w:rFonts w:ascii="Proxima Nova Semibold" w:hAnsi="Proxima Nova Semibold" w:cs="Proxima Nova Semibold"/>
      <w:color w:val="000000"/>
    </w:rPr>
  </w:style>
  <w:style w:type="paragraph" w:customStyle="1" w:styleId="Pa4">
    <w:name w:val="Pa4"/>
    <w:basedOn w:val="Default"/>
    <w:next w:val="Default"/>
    <w:uiPriority w:val="99"/>
    <w:rsid w:val="00F2685D"/>
    <w:pPr>
      <w:spacing w:line="241" w:lineRule="atLeast"/>
    </w:pPr>
    <w:rPr>
      <w:rFonts w:ascii="Proxima Nova" w:eastAsiaTheme="minorEastAsia" w:hAnsi="Proxima Nova" w:cstheme="minorBidi"/>
      <w:color w:val="auto"/>
      <w:lang w:eastAsia="en-GB"/>
    </w:rPr>
  </w:style>
  <w:style w:type="paragraph" w:styleId="NoSpacing">
    <w:name w:val="No Spacing"/>
    <w:uiPriority w:val="1"/>
    <w:qFormat/>
    <w:rsid w:val="00F2685D"/>
    <w:rPr>
      <w:sz w:val="22"/>
      <w:szCs w:val="22"/>
    </w:rPr>
  </w:style>
  <w:style w:type="paragraph" w:styleId="CommentSubject">
    <w:name w:val="annotation subject"/>
    <w:basedOn w:val="CommentText"/>
    <w:next w:val="CommentText"/>
    <w:link w:val="CommentSubjectChar"/>
    <w:uiPriority w:val="99"/>
    <w:semiHidden/>
    <w:unhideWhenUsed/>
    <w:rsid w:val="00631B40"/>
    <w:pPr>
      <w:spacing w:line="240" w:lineRule="auto"/>
    </w:pPr>
    <w:rPr>
      <w:b/>
      <w:bCs/>
    </w:rPr>
  </w:style>
  <w:style w:type="character" w:customStyle="1" w:styleId="CommentSubjectChar">
    <w:name w:val="Comment Subject Char"/>
    <w:basedOn w:val="CommentTextChar"/>
    <w:link w:val="CommentSubject"/>
    <w:uiPriority w:val="99"/>
    <w:semiHidden/>
    <w:rsid w:val="00631B40"/>
    <w:rPr>
      <w:rFonts w:ascii="Calibri" w:eastAsia="Calibri" w:hAnsi="Calibri" w:cs="Times New Roman"/>
      <w:b/>
      <w:bCs/>
      <w:sz w:val="20"/>
      <w:szCs w:val="20"/>
    </w:rPr>
  </w:style>
  <w:style w:type="paragraph" w:styleId="NormalWeb">
    <w:name w:val="Normal (Web)"/>
    <w:basedOn w:val="Normal"/>
    <w:uiPriority w:val="99"/>
    <w:semiHidden/>
    <w:unhideWhenUsed/>
    <w:rsid w:val="00631B4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402">
      <w:bodyDiv w:val="1"/>
      <w:marLeft w:val="0"/>
      <w:marRight w:val="0"/>
      <w:marTop w:val="0"/>
      <w:marBottom w:val="0"/>
      <w:divBdr>
        <w:top w:val="none" w:sz="0" w:space="0" w:color="auto"/>
        <w:left w:val="none" w:sz="0" w:space="0" w:color="auto"/>
        <w:bottom w:val="none" w:sz="0" w:space="0" w:color="auto"/>
        <w:right w:val="none" w:sz="0" w:space="0" w:color="auto"/>
      </w:divBdr>
    </w:div>
    <w:div w:id="1191261061">
      <w:bodyDiv w:val="1"/>
      <w:marLeft w:val="0"/>
      <w:marRight w:val="0"/>
      <w:marTop w:val="0"/>
      <w:marBottom w:val="0"/>
      <w:divBdr>
        <w:top w:val="none" w:sz="0" w:space="0" w:color="auto"/>
        <w:left w:val="none" w:sz="0" w:space="0" w:color="auto"/>
        <w:bottom w:val="none" w:sz="0" w:space="0" w:color="auto"/>
        <w:right w:val="none" w:sz="0" w:space="0" w:color="auto"/>
      </w:divBdr>
    </w:div>
    <w:div w:id="18503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Winter</cp:lastModifiedBy>
  <cp:revision>6</cp:revision>
  <dcterms:created xsi:type="dcterms:W3CDTF">2022-02-22T14:49:00Z</dcterms:created>
  <dcterms:modified xsi:type="dcterms:W3CDTF">2023-07-26T11:16:00Z</dcterms:modified>
</cp:coreProperties>
</file>